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5F9E" w:rsidRPr="00A45F9E" w:rsidRDefault="00A45F9E" w:rsidP="00A81765">
      <w:pPr>
        <w:ind w:right="1983"/>
        <w:jc w:val="both"/>
        <w:rPr>
          <w:rFonts w:ascii="Tahoma" w:hAnsi="Tahoma" w:cs="Tahoma"/>
          <w:b/>
          <w:i/>
          <w:sz w:val="22"/>
          <w:szCs w:val="22"/>
          <w:lang w:val="es-ES_tradnl"/>
        </w:rPr>
      </w:pPr>
    </w:p>
    <w:p w:rsidR="00EF6D22" w:rsidRPr="00EF6D22" w:rsidRDefault="00EF6D22" w:rsidP="00EF6D22">
      <w:pPr>
        <w:ind w:left="1843" w:right="1983"/>
        <w:jc w:val="both"/>
        <w:rPr>
          <w:rFonts w:ascii="Tahoma" w:hAnsi="Tahoma" w:cs="Tahoma"/>
          <w:i/>
          <w:sz w:val="22"/>
          <w:szCs w:val="22"/>
        </w:rPr>
      </w:pPr>
      <w:r w:rsidRPr="00EF6D22">
        <w:rPr>
          <w:rFonts w:ascii="Tahoma" w:hAnsi="Tahoma" w:cs="Tahoma"/>
          <w:b/>
          <w:i/>
          <w:sz w:val="22"/>
          <w:szCs w:val="22"/>
        </w:rPr>
        <w:t>Sumilla   :</w:t>
      </w:r>
      <w:r w:rsidRPr="00EF6D22">
        <w:rPr>
          <w:rFonts w:ascii="Tahoma" w:hAnsi="Tahoma" w:cs="Tahoma"/>
          <w:i/>
          <w:sz w:val="22"/>
          <w:szCs w:val="22"/>
        </w:rPr>
        <w:t xml:space="preserve"> </w:t>
      </w:r>
      <w:r w:rsidRPr="00EF6D22">
        <w:rPr>
          <w:rFonts w:ascii="Tahoma" w:hAnsi="Tahoma" w:cs="Tahoma"/>
          <w:i/>
          <w:sz w:val="22"/>
          <w:szCs w:val="22"/>
        </w:rPr>
        <w:tab/>
        <w:t>“Es pasible de sanción el postor que presenta documentos falsos a la Entidad, entendiéndose por tales aquellos que no hayan sido expedidos por su emisor o que, siendo válidamente emitidos, hayan sido adulterados en su forma o contenido, independientemente de quién haya sido su autor o de las circunstancias que condujeron a su falsificación.”</w:t>
      </w:r>
    </w:p>
    <w:p w:rsidR="00EF6D22" w:rsidRPr="00EF6D22" w:rsidRDefault="00EF6D22" w:rsidP="00EF6D22">
      <w:pPr>
        <w:pStyle w:val="Textoindependiente3"/>
        <w:spacing w:after="0"/>
        <w:rPr>
          <w:rFonts w:ascii="Tahoma" w:hAnsi="Tahoma" w:cs="Tahoma"/>
          <w:i/>
          <w:sz w:val="22"/>
          <w:szCs w:val="22"/>
          <w:lang w:val="es-ES"/>
        </w:rPr>
      </w:pPr>
    </w:p>
    <w:p w:rsidR="00A45F9E" w:rsidRPr="00EF6D22" w:rsidRDefault="00EF6D22" w:rsidP="00A45F9E">
      <w:pPr>
        <w:pStyle w:val="Textoindependiente3"/>
        <w:spacing w:after="0"/>
        <w:ind w:left="5387"/>
        <w:jc w:val="both"/>
        <w:rPr>
          <w:rFonts w:ascii="Tahoma" w:hAnsi="Tahoma" w:cs="Tahoma"/>
          <w:b/>
          <w:sz w:val="22"/>
          <w:szCs w:val="22"/>
        </w:rPr>
      </w:pPr>
      <w:r w:rsidRPr="00EF6D22">
        <w:rPr>
          <w:rFonts w:ascii="Tahoma" w:hAnsi="Tahoma" w:cs="Tahoma"/>
          <w:b/>
          <w:sz w:val="22"/>
          <w:szCs w:val="22"/>
        </w:rPr>
        <w:t>Lima,</w:t>
      </w:r>
      <w:r w:rsidR="00A45F9E">
        <w:rPr>
          <w:rFonts w:ascii="Tahoma" w:hAnsi="Tahoma" w:cs="Tahoma"/>
          <w:b/>
          <w:sz w:val="22"/>
          <w:szCs w:val="22"/>
        </w:rPr>
        <w:t xml:space="preserve"> 21 de Enero de 2011</w:t>
      </w:r>
    </w:p>
    <w:p w:rsidR="00EF6D22" w:rsidRPr="00EF6D22" w:rsidRDefault="00EF6D22" w:rsidP="00EF6D22">
      <w:pPr>
        <w:pStyle w:val="Textoindependiente3"/>
        <w:spacing w:after="0"/>
        <w:ind w:left="5387"/>
        <w:jc w:val="both"/>
        <w:rPr>
          <w:rFonts w:ascii="Tahoma" w:hAnsi="Tahoma" w:cs="Tahoma"/>
          <w:b/>
          <w:sz w:val="22"/>
          <w:szCs w:val="22"/>
        </w:rPr>
      </w:pPr>
    </w:p>
    <w:p w:rsidR="00EF6D22" w:rsidRPr="00EF6D22" w:rsidRDefault="00EF6D22" w:rsidP="00EF6D22">
      <w:pPr>
        <w:ind w:firstLine="567"/>
        <w:contextualSpacing/>
        <w:jc w:val="both"/>
        <w:rPr>
          <w:rFonts w:ascii="Tahoma" w:hAnsi="Tahoma" w:cs="Tahoma"/>
          <w:sz w:val="22"/>
          <w:szCs w:val="22"/>
        </w:rPr>
      </w:pPr>
      <w:r w:rsidRPr="00EF6D22">
        <w:rPr>
          <w:rFonts w:ascii="Tahoma" w:hAnsi="Tahoma" w:cs="Tahoma"/>
          <w:b/>
          <w:sz w:val="22"/>
          <w:szCs w:val="22"/>
        </w:rPr>
        <w:t xml:space="preserve">Visto </w:t>
      </w:r>
      <w:r>
        <w:rPr>
          <w:rFonts w:ascii="Tahoma" w:hAnsi="Tahoma" w:cs="Tahoma"/>
          <w:sz w:val="22"/>
          <w:szCs w:val="22"/>
        </w:rPr>
        <w:t>en sesión de fecha 21 de enero de 2011</w:t>
      </w:r>
      <w:r w:rsidRPr="00EF6D22">
        <w:rPr>
          <w:rFonts w:ascii="Tahoma" w:hAnsi="Tahoma" w:cs="Tahoma"/>
          <w:sz w:val="22"/>
          <w:szCs w:val="22"/>
        </w:rPr>
        <w:t xml:space="preserve"> la Primera Sala del Tribunal de Contrataciones </w:t>
      </w:r>
      <w:r>
        <w:rPr>
          <w:rFonts w:ascii="Tahoma" w:hAnsi="Tahoma" w:cs="Tahoma"/>
          <w:sz w:val="22"/>
          <w:szCs w:val="22"/>
        </w:rPr>
        <w:t>del Estado el Expediente N° 1108.2010</w:t>
      </w:r>
      <w:r w:rsidRPr="00EF6D22">
        <w:rPr>
          <w:rFonts w:ascii="Tahoma" w:hAnsi="Tahoma" w:cs="Tahoma"/>
          <w:sz w:val="22"/>
          <w:szCs w:val="22"/>
        </w:rPr>
        <w:t xml:space="preserve">-TC; sobre el procedimiento administrativo sancionador iniciado contra la empresa ALARMAS PERUANAS S.A., por su supuesta responsabilidad </w:t>
      </w:r>
      <w:r w:rsidRPr="00EF6D22">
        <w:rPr>
          <w:rFonts w:ascii="Tahoma" w:eastAsia="MS Mincho" w:hAnsi="Tahoma" w:cs="Tahoma"/>
          <w:sz w:val="22"/>
          <w:szCs w:val="22"/>
        </w:rPr>
        <w:t>al haber</w:t>
      </w:r>
      <w:r w:rsidR="00B64716">
        <w:rPr>
          <w:rFonts w:ascii="Tahoma" w:eastAsia="MS Mincho" w:hAnsi="Tahoma" w:cs="Tahoma"/>
          <w:sz w:val="22"/>
          <w:szCs w:val="22"/>
        </w:rPr>
        <w:t xml:space="preserve"> incurrido en la</w:t>
      </w:r>
      <w:r w:rsidRPr="00EF6D22">
        <w:rPr>
          <w:rFonts w:ascii="Tahoma" w:eastAsia="MS Mincho" w:hAnsi="Tahoma" w:cs="Tahoma"/>
          <w:sz w:val="22"/>
          <w:szCs w:val="22"/>
        </w:rPr>
        <w:t xml:space="preserve"> </w:t>
      </w:r>
      <w:r w:rsidR="00B64716" w:rsidRPr="00EF6D22">
        <w:rPr>
          <w:rFonts w:ascii="Tahoma" w:hAnsi="Tahoma" w:cs="Tahoma"/>
          <w:sz w:val="22"/>
          <w:szCs w:val="22"/>
          <w:lang w:val="es-PE"/>
        </w:rPr>
        <w:t>infracción tipificada en el literal i) del numeral 51.1 del artículo 51 de la Ley de Contrataciones del Estado</w:t>
      </w:r>
      <w:r w:rsidR="00B64716" w:rsidRPr="00EF6D22">
        <w:rPr>
          <w:rStyle w:val="Refdenotaalpie"/>
          <w:rFonts w:ascii="Tahoma" w:hAnsi="Tahoma" w:cs="Tahoma"/>
          <w:sz w:val="22"/>
          <w:szCs w:val="22"/>
          <w:lang w:val="es-PE"/>
        </w:rPr>
        <w:footnoteReference w:id="2"/>
      </w:r>
      <w:r w:rsidR="00B64716" w:rsidRPr="00EF6D22">
        <w:rPr>
          <w:rFonts w:ascii="Tahoma" w:hAnsi="Tahoma" w:cs="Tahoma"/>
          <w:sz w:val="22"/>
          <w:szCs w:val="22"/>
          <w:lang w:val="es-PE"/>
        </w:rPr>
        <w:t>, así como el literal i) del numeral 1 del artículo 237 del Reglamento de la Ley de Contrataciones del Estado</w:t>
      </w:r>
      <w:r w:rsidRPr="00EF6D22">
        <w:rPr>
          <w:rFonts w:ascii="Tahoma" w:hAnsi="Tahoma" w:cs="Tahoma"/>
          <w:sz w:val="22"/>
          <w:szCs w:val="22"/>
        </w:rPr>
        <w:t>.</w:t>
      </w:r>
    </w:p>
    <w:p w:rsidR="00EF6D22" w:rsidRPr="00EF6D22" w:rsidRDefault="00EF6D22" w:rsidP="00EF6D22">
      <w:pPr>
        <w:ind w:firstLine="567"/>
        <w:contextualSpacing/>
        <w:jc w:val="both"/>
        <w:rPr>
          <w:rFonts w:ascii="Tahoma" w:hAnsi="Tahoma" w:cs="Tahoma"/>
          <w:b/>
          <w:sz w:val="22"/>
          <w:szCs w:val="22"/>
          <w:lang w:val="es-ES_tradnl"/>
        </w:rPr>
      </w:pPr>
    </w:p>
    <w:p w:rsidR="00EF6D22" w:rsidRPr="00EF6D22" w:rsidRDefault="00EF6D22" w:rsidP="00EF6D22">
      <w:pPr>
        <w:pStyle w:val="Prrafodelista"/>
        <w:numPr>
          <w:ilvl w:val="0"/>
          <w:numId w:val="1"/>
        </w:numPr>
        <w:ind w:left="567" w:hanging="425"/>
        <w:rPr>
          <w:rFonts w:ascii="Tahoma" w:hAnsi="Tahoma" w:cs="Tahoma"/>
          <w:b/>
          <w:sz w:val="22"/>
          <w:szCs w:val="22"/>
        </w:rPr>
      </w:pPr>
      <w:r w:rsidRPr="00EF6D22">
        <w:rPr>
          <w:rFonts w:ascii="Tahoma" w:hAnsi="Tahoma" w:cs="Tahoma"/>
          <w:b/>
          <w:sz w:val="22"/>
          <w:szCs w:val="22"/>
        </w:rPr>
        <w:t>ANTECEDENTES:</w:t>
      </w:r>
    </w:p>
    <w:p w:rsidR="00EF6D22" w:rsidRPr="00EF6D22" w:rsidRDefault="00EF6D22" w:rsidP="00EF6D22">
      <w:pPr>
        <w:jc w:val="both"/>
        <w:rPr>
          <w:rFonts w:ascii="Tahoma" w:hAnsi="Tahoma" w:cs="Tahoma"/>
          <w:b/>
          <w:sz w:val="22"/>
          <w:szCs w:val="22"/>
          <w:lang w:eastAsia="es-PE"/>
        </w:rPr>
      </w:pPr>
    </w:p>
    <w:p w:rsidR="00EF6D22" w:rsidRPr="00EF6D22" w:rsidRDefault="00EF6D22" w:rsidP="00EF6D22">
      <w:pPr>
        <w:pStyle w:val="Prrafodelista"/>
        <w:widowControl/>
        <w:numPr>
          <w:ilvl w:val="0"/>
          <w:numId w:val="7"/>
        </w:numPr>
        <w:suppressAutoHyphens w:val="0"/>
        <w:ind w:left="567" w:hanging="567"/>
        <w:contextualSpacing/>
        <w:jc w:val="both"/>
        <w:rPr>
          <w:rFonts w:ascii="Tahoma" w:hAnsi="Tahoma" w:cs="Tahoma"/>
          <w:sz w:val="22"/>
          <w:szCs w:val="22"/>
        </w:rPr>
      </w:pPr>
      <w:r w:rsidRPr="00EF6D22">
        <w:rPr>
          <w:rFonts w:ascii="Tahoma" w:hAnsi="Tahoma" w:cs="Tahoma"/>
          <w:sz w:val="22"/>
          <w:szCs w:val="22"/>
        </w:rPr>
        <w:t xml:space="preserve">El 12 de diciembre de 2008, la </w:t>
      </w:r>
      <w:r w:rsidRPr="00EF6D22">
        <w:rPr>
          <w:rFonts w:ascii="Tahoma" w:hAnsi="Tahoma" w:cs="Tahoma"/>
          <w:sz w:val="22"/>
          <w:szCs w:val="22"/>
          <w:lang w:val="pt-BR"/>
        </w:rPr>
        <w:t>CAJA MUNICIPAL DE AHORRO Y CREDITO DE AREQUIPA</w:t>
      </w:r>
      <w:r w:rsidRPr="00EF6D22">
        <w:rPr>
          <w:rFonts w:ascii="Tahoma" w:hAnsi="Tahoma" w:cs="Tahoma"/>
          <w:sz w:val="22"/>
          <w:szCs w:val="22"/>
        </w:rPr>
        <w:t>, en adelante la Entidad, convocó la Adjudicación Directa Selectiva ADS 025-2008/CMAC-AREQUIPA, para la “Adquisición e instalación de alarmas para cajeros automáticos de la CMAC AREQUIPA”, por un valor referencial ascendente a S/. 177,582.87 (Ciento setenta y siete mil quinientos ochenta y dos con 87/100 Nuevos Soles).</w:t>
      </w:r>
    </w:p>
    <w:p w:rsidR="00EF6D22" w:rsidRPr="00EF6D22" w:rsidRDefault="00EF6D22" w:rsidP="00EF6D22">
      <w:pPr>
        <w:pStyle w:val="Prrafodelista"/>
        <w:ind w:left="567"/>
        <w:contextualSpacing/>
        <w:jc w:val="both"/>
        <w:rPr>
          <w:rFonts w:ascii="Tahoma" w:hAnsi="Tahoma" w:cs="Tahoma"/>
          <w:sz w:val="22"/>
          <w:szCs w:val="22"/>
        </w:rPr>
      </w:pPr>
    </w:p>
    <w:p w:rsidR="00EF6D22" w:rsidRPr="00EF6D22" w:rsidRDefault="00EF6D22" w:rsidP="00EF6D22">
      <w:pPr>
        <w:pStyle w:val="Prrafodelista"/>
        <w:widowControl/>
        <w:numPr>
          <w:ilvl w:val="0"/>
          <w:numId w:val="7"/>
        </w:numPr>
        <w:suppressAutoHyphens w:val="0"/>
        <w:ind w:left="567" w:hanging="567"/>
        <w:contextualSpacing/>
        <w:jc w:val="both"/>
        <w:rPr>
          <w:rFonts w:ascii="Tahoma" w:hAnsi="Tahoma" w:cs="Tahoma"/>
          <w:sz w:val="22"/>
          <w:szCs w:val="22"/>
        </w:rPr>
      </w:pPr>
      <w:r w:rsidRPr="00EF6D22">
        <w:rPr>
          <w:rFonts w:ascii="Tahoma" w:hAnsi="Tahoma" w:cs="Tahoma"/>
          <w:sz w:val="22"/>
          <w:szCs w:val="22"/>
        </w:rPr>
        <w:t>El 05 de enero de 2009, tuvo lugar el acto privado de presentación de propuestas y otorgamiento de la Buena Pro, el mismo que fue adjudicada a favor de la empresa ALARMAS PERUANAS S.A., en adelante el Postor.</w:t>
      </w:r>
    </w:p>
    <w:p w:rsidR="00EF6D22" w:rsidRPr="00EF6D22" w:rsidRDefault="00EF6D22" w:rsidP="00EF6D22">
      <w:pPr>
        <w:pStyle w:val="Prrafodelista"/>
        <w:rPr>
          <w:rFonts w:ascii="Tahoma" w:hAnsi="Tahoma" w:cs="Tahoma"/>
          <w:sz w:val="22"/>
          <w:szCs w:val="22"/>
        </w:rPr>
      </w:pPr>
    </w:p>
    <w:p w:rsidR="00EF6D22" w:rsidRPr="00EF6D22" w:rsidRDefault="00EF6D22" w:rsidP="00EF6D22">
      <w:pPr>
        <w:pStyle w:val="Prrafodelista"/>
        <w:widowControl/>
        <w:numPr>
          <w:ilvl w:val="0"/>
          <w:numId w:val="7"/>
        </w:numPr>
        <w:suppressAutoHyphens w:val="0"/>
        <w:ind w:left="567" w:hanging="567"/>
        <w:contextualSpacing/>
        <w:jc w:val="both"/>
        <w:rPr>
          <w:rFonts w:ascii="Tahoma" w:hAnsi="Tahoma" w:cs="Tahoma"/>
          <w:sz w:val="22"/>
          <w:szCs w:val="22"/>
        </w:rPr>
      </w:pPr>
      <w:r w:rsidRPr="00EF6D22">
        <w:rPr>
          <w:rFonts w:ascii="Tahoma" w:hAnsi="Tahoma" w:cs="Tahoma"/>
          <w:sz w:val="22"/>
          <w:szCs w:val="22"/>
          <w:lang w:val="es-PE"/>
        </w:rPr>
        <w:t xml:space="preserve">El 15 de enero de 2009 y subsanado el 19 de enero de 2009, </w:t>
      </w:r>
      <w:r w:rsidRPr="00EF6D22">
        <w:rPr>
          <w:rFonts w:ascii="Tahoma" w:hAnsi="Tahoma" w:cs="Tahoma"/>
          <w:sz w:val="22"/>
          <w:szCs w:val="22"/>
        </w:rPr>
        <w:t>el consorcio Aplicaciones Técnicas S.R.L. y Grupo Zonda S.A.C.</w:t>
      </w:r>
      <w:r w:rsidRPr="00EF6D22">
        <w:rPr>
          <w:rFonts w:ascii="Tahoma" w:hAnsi="Tahoma" w:cs="Tahoma"/>
          <w:sz w:val="22"/>
          <w:szCs w:val="22"/>
          <w:lang w:val="es-PE"/>
        </w:rPr>
        <w:t>, en lo sucesivo El Impugnante, presentó ante la Oficina Desconcentrada de CONSUCODE</w:t>
      </w:r>
      <w:r w:rsidRPr="00EF6D22">
        <w:rPr>
          <w:rStyle w:val="Refdenotaalpie"/>
          <w:rFonts w:ascii="Tahoma" w:hAnsi="Tahoma" w:cs="Tahoma"/>
          <w:sz w:val="22"/>
          <w:szCs w:val="22"/>
          <w:lang w:val="es-PE"/>
        </w:rPr>
        <w:footnoteReference w:id="3"/>
      </w:r>
      <w:r w:rsidRPr="00EF6D22">
        <w:rPr>
          <w:rFonts w:ascii="Tahoma" w:hAnsi="Tahoma" w:cs="Tahoma"/>
          <w:sz w:val="22"/>
          <w:szCs w:val="22"/>
          <w:lang w:val="es-PE"/>
        </w:rPr>
        <w:t xml:space="preserve"> ubicada en la ciudad de Arequipa</w:t>
      </w:r>
      <w:r w:rsidRPr="00EF6D22">
        <w:rPr>
          <w:rStyle w:val="Refdenotaalpie"/>
          <w:rFonts w:ascii="Tahoma" w:hAnsi="Tahoma" w:cs="Tahoma"/>
          <w:sz w:val="22"/>
          <w:szCs w:val="22"/>
          <w:lang w:val="es-PE"/>
        </w:rPr>
        <w:footnoteReference w:id="4"/>
      </w:r>
      <w:r w:rsidRPr="00EF6D22">
        <w:rPr>
          <w:rFonts w:ascii="Tahoma" w:hAnsi="Tahoma" w:cs="Tahoma"/>
          <w:sz w:val="22"/>
          <w:szCs w:val="22"/>
          <w:lang w:val="es-PE"/>
        </w:rPr>
        <w:t>, recurso de apelación contra el acto de otorgamiento de la buena pro, solicitando se descalifiquen las propuestas técnicas del Postor</w:t>
      </w:r>
      <w:r w:rsidRPr="00EF6D22">
        <w:rPr>
          <w:rFonts w:ascii="Tahoma" w:hAnsi="Tahoma" w:cs="Tahoma"/>
          <w:sz w:val="22"/>
          <w:szCs w:val="22"/>
        </w:rPr>
        <w:t xml:space="preserve"> y del segundo en el orden de prelación por no haber cumplido con diversas exigencias técnicas mínimas</w:t>
      </w:r>
      <w:r w:rsidRPr="00EF6D22">
        <w:rPr>
          <w:rFonts w:ascii="Tahoma" w:hAnsi="Tahoma" w:cs="Tahoma"/>
          <w:sz w:val="22"/>
          <w:szCs w:val="22"/>
          <w:lang w:val="es-PE"/>
        </w:rPr>
        <w:t xml:space="preserve">, y de no ser descalificados dichos postores, como </w:t>
      </w:r>
      <w:r w:rsidRPr="00EF6D22">
        <w:rPr>
          <w:rFonts w:ascii="Tahoma" w:hAnsi="Tahoma" w:cs="Tahoma"/>
          <w:sz w:val="22"/>
          <w:szCs w:val="22"/>
          <w:lang w:val="es-PE"/>
        </w:rPr>
        <w:lastRenderedPageBreak/>
        <w:t>pretensión subordinada solicitó se reduzca la puntuación otorgada a éstos, en consecuencia adjudicárseles la buena pro.</w:t>
      </w:r>
    </w:p>
    <w:p w:rsidR="00EF6D22" w:rsidRPr="00EF6D22" w:rsidRDefault="00EF6D22" w:rsidP="00EF6D22">
      <w:pPr>
        <w:pStyle w:val="Prrafodelista"/>
        <w:rPr>
          <w:rFonts w:ascii="Tahoma" w:hAnsi="Tahoma" w:cs="Tahoma"/>
          <w:sz w:val="22"/>
          <w:szCs w:val="22"/>
        </w:rPr>
      </w:pPr>
    </w:p>
    <w:p w:rsidR="00EF6D22" w:rsidRPr="00EF6D22" w:rsidRDefault="00EF6D22" w:rsidP="00EF6D22">
      <w:pPr>
        <w:pStyle w:val="Prrafodelista"/>
        <w:widowControl/>
        <w:numPr>
          <w:ilvl w:val="0"/>
          <w:numId w:val="7"/>
        </w:numPr>
        <w:suppressAutoHyphens w:val="0"/>
        <w:ind w:left="567" w:hanging="567"/>
        <w:contextualSpacing/>
        <w:jc w:val="both"/>
        <w:rPr>
          <w:rFonts w:ascii="Tahoma" w:hAnsi="Tahoma" w:cs="Tahoma"/>
          <w:sz w:val="22"/>
          <w:szCs w:val="22"/>
        </w:rPr>
      </w:pPr>
      <w:r w:rsidRPr="00EF6D22">
        <w:rPr>
          <w:rFonts w:ascii="Tahoma" w:hAnsi="Tahoma" w:cs="Tahoma"/>
          <w:sz w:val="22"/>
          <w:szCs w:val="22"/>
          <w:lang w:val="es-PE"/>
        </w:rPr>
        <w:t>El 22 de enero de 2009, el Tribunal admitió a trámite el recurso de apelación interpuesto por La Impugnante.</w:t>
      </w:r>
    </w:p>
    <w:p w:rsidR="00EF6D22" w:rsidRPr="00EF6D22" w:rsidRDefault="00EF6D22" w:rsidP="00EF6D22">
      <w:pPr>
        <w:pStyle w:val="Prrafodelista"/>
        <w:rPr>
          <w:rFonts w:ascii="Tahoma" w:hAnsi="Tahoma" w:cs="Tahoma"/>
          <w:sz w:val="22"/>
          <w:szCs w:val="22"/>
        </w:rPr>
      </w:pPr>
    </w:p>
    <w:p w:rsidR="00EF6D22" w:rsidRPr="00EF6D22" w:rsidRDefault="00EF6D22" w:rsidP="00EF6D22">
      <w:pPr>
        <w:pStyle w:val="Prrafodelista"/>
        <w:widowControl/>
        <w:numPr>
          <w:ilvl w:val="0"/>
          <w:numId w:val="7"/>
        </w:numPr>
        <w:suppressAutoHyphens w:val="0"/>
        <w:ind w:left="567" w:hanging="567"/>
        <w:contextualSpacing/>
        <w:jc w:val="both"/>
        <w:rPr>
          <w:rFonts w:ascii="Tahoma" w:hAnsi="Tahoma" w:cs="Tahoma"/>
          <w:sz w:val="22"/>
          <w:szCs w:val="22"/>
        </w:rPr>
      </w:pPr>
      <w:r w:rsidRPr="00EF6D22">
        <w:rPr>
          <w:rFonts w:ascii="Tahoma" w:hAnsi="Tahoma" w:cs="Tahoma"/>
          <w:sz w:val="22"/>
          <w:szCs w:val="22"/>
        </w:rPr>
        <w:t>A través del escrito presentado el</w:t>
      </w:r>
      <w:r w:rsidRPr="00EF6D22">
        <w:rPr>
          <w:rFonts w:ascii="Tahoma" w:hAnsi="Tahoma" w:cs="Tahoma"/>
          <w:sz w:val="22"/>
          <w:szCs w:val="22"/>
          <w:lang w:val="es-PE"/>
        </w:rPr>
        <w:t xml:space="preserve"> 04 de febrero de 2009 y subsanado el 05 de febrero de 2009, ante la Oficina Desconcentrada de CONSUCODE. Hoy OSCE, ubicada en la ciudad de Arequipa, la Entidad remitió los antecedentes administrativos solicitados. </w:t>
      </w:r>
    </w:p>
    <w:p w:rsidR="00EF6D22" w:rsidRPr="00EF6D22" w:rsidRDefault="00EF6D22" w:rsidP="00EF6D22">
      <w:pPr>
        <w:pStyle w:val="Prrafodelista"/>
        <w:rPr>
          <w:rFonts w:ascii="Tahoma" w:hAnsi="Tahoma" w:cs="Tahoma"/>
          <w:sz w:val="22"/>
          <w:szCs w:val="22"/>
        </w:rPr>
      </w:pPr>
    </w:p>
    <w:p w:rsidR="00EF6D22" w:rsidRPr="00EF6D22" w:rsidRDefault="00EF6D22" w:rsidP="00EF6D22">
      <w:pPr>
        <w:pStyle w:val="Prrafodelista"/>
        <w:widowControl/>
        <w:numPr>
          <w:ilvl w:val="0"/>
          <w:numId w:val="7"/>
        </w:numPr>
        <w:suppressAutoHyphens w:val="0"/>
        <w:ind w:left="567" w:hanging="567"/>
        <w:contextualSpacing/>
        <w:jc w:val="both"/>
        <w:rPr>
          <w:rFonts w:ascii="Tahoma" w:hAnsi="Tahoma" w:cs="Tahoma"/>
          <w:sz w:val="22"/>
          <w:szCs w:val="22"/>
        </w:rPr>
      </w:pPr>
      <w:r w:rsidRPr="00EF6D22">
        <w:rPr>
          <w:rFonts w:ascii="Tahoma" w:hAnsi="Tahoma" w:cs="Tahoma"/>
          <w:sz w:val="22"/>
          <w:szCs w:val="22"/>
        </w:rPr>
        <w:t>Mediante decreto de fecha 09 de febrero de 2009, se asignó el expediente a la Segunda Sala del Tribunal para que emita su pronunciamiento.</w:t>
      </w:r>
    </w:p>
    <w:p w:rsidR="00EF6D22" w:rsidRPr="00EF6D22" w:rsidRDefault="00EF6D22" w:rsidP="00EF6D22">
      <w:pPr>
        <w:pStyle w:val="Prrafodelista"/>
        <w:rPr>
          <w:rFonts w:ascii="Tahoma" w:hAnsi="Tahoma" w:cs="Tahoma"/>
          <w:sz w:val="22"/>
          <w:szCs w:val="22"/>
        </w:rPr>
      </w:pPr>
    </w:p>
    <w:p w:rsidR="00EF6D22" w:rsidRPr="00EF6D22" w:rsidRDefault="00EF6D22" w:rsidP="00EF6D22">
      <w:pPr>
        <w:pStyle w:val="Prrafodelista"/>
        <w:widowControl/>
        <w:numPr>
          <w:ilvl w:val="0"/>
          <w:numId w:val="7"/>
        </w:numPr>
        <w:suppressAutoHyphens w:val="0"/>
        <w:ind w:left="567" w:hanging="567"/>
        <w:contextualSpacing/>
        <w:jc w:val="both"/>
        <w:rPr>
          <w:rFonts w:ascii="Tahoma" w:hAnsi="Tahoma" w:cs="Tahoma"/>
          <w:sz w:val="22"/>
          <w:szCs w:val="22"/>
        </w:rPr>
      </w:pPr>
      <w:r w:rsidRPr="00EF6D22">
        <w:rPr>
          <w:rFonts w:ascii="Tahoma" w:hAnsi="Tahoma" w:cs="Tahoma"/>
          <w:sz w:val="22"/>
          <w:szCs w:val="22"/>
        </w:rPr>
        <w:t>El 09 de abril de 2010, se declaró el presente expediente listo para resolver.</w:t>
      </w:r>
    </w:p>
    <w:p w:rsidR="00EF6D22" w:rsidRPr="00EF6D22" w:rsidRDefault="00EF6D22" w:rsidP="00EF6D22">
      <w:pPr>
        <w:pStyle w:val="Prrafodelista"/>
        <w:rPr>
          <w:rFonts w:ascii="Tahoma" w:hAnsi="Tahoma" w:cs="Tahoma"/>
          <w:sz w:val="22"/>
          <w:szCs w:val="22"/>
        </w:rPr>
      </w:pPr>
    </w:p>
    <w:p w:rsidR="00EF6D22" w:rsidRPr="00EF6D22" w:rsidRDefault="00EF6D22" w:rsidP="00EF6D22">
      <w:pPr>
        <w:pStyle w:val="Prrafodelista"/>
        <w:widowControl/>
        <w:numPr>
          <w:ilvl w:val="0"/>
          <w:numId w:val="7"/>
        </w:numPr>
        <w:suppressAutoHyphens w:val="0"/>
        <w:ind w:left="567" w:hanging="567"/>
        <w:contextualSpacing/>
        <w:jc w:val="both"/>
        <w:rPr>
          <w:rFonts w:ascii="Tahoma" w:hAnsi="Tahoma" w:cs="Tahoma"/>
          <w:sz w:val="22"/>
          <w:szCs w:val="22"/>
        </w:rPr>
      </w:pPr>
      <w:r w:rsidRPr="00EF6D22">
        <w:rPr>
          <w:rFonts w:ascii="Tahoma" w:hAnsi="Tahoma" w:cs="Tahoma"/>
          <w:sz w:val="22"/>
          <w:szCs w:val="22"/>
        </w:rPr>
        <w:t xml:space="preserve">A través de la Resolución Nº 715-2010-TC-S2 de fecha 16 de abril del 2009, el Tribunal de Contrataciones del Estado, en adelante el Tribunal, declaró fundado en parte el recurso de apelación interpuesto por el Impugnante, en el extremo de descalificar la propuesta técnica de la empresa  X Diez Control E.I.R.L. de la </w:t>
      </w:r>
      <w:r w:rsidRPr="00EF6D22">
        <w:rPr>
          <w:rFonts w:ascii="Tahoma" w:hAnsi="Tahoma" w:cs="Tahoma"/>
          <w:sz w:val="22"/>
          <w:szCs w:val="22"/>
          <w:lang w:val="es-PE"/>
        </w:rPr>
        <w:t xml:space="preserve">Adjudicación Directa Selectiva Nº 025-2008/CMAC-AREQUIPA; asimismo, declaró </w:t>
      </w:r>
      <w:r w:rsidRPr="00EF6D22">
        <w:rPr>
          <w:rFonts w:ascii="Tahoma" w:hAnsi="Tahoma" w:cs="Tahoma"/>
          <w:sz w:val="22"/>
          <w:szCs w:val="22"/>
        </w:rPr>
        <w:t xml:space="preserve">infundado el recurso de apelación interpuesto por el consorcio Aplicaciones Técnicas S.R.L. y Grupo Zonda S.A.C. en el extremo que cuestiona el otorgamiento de la buena pro; y, por su efecto, ratificó la buena pro de la </w:t>
      </w:r>
      <w:r w:rsidRPr="00EF6D22">
        <w:rPr>
          <w:rFonts w:ascii="Tahoma" w:hAnsi="Tahoma" w:cs="Tahoma"/>
          <w:sz w:val="22"/>
          <w:szCs w:val="22"/>
          <w:lang w:val="es-PE"/>
        </w:rPr>
        <w:t>Adjudicación Directa Selectiva Nº 025-2008/CMAC-AREQUIPA, la misma que fue adjudicada</w:t>
      </w:r>
      <w:r w:rsidRPr="00EF6D22">
        <w:rPr>
          <w:rFonts w:ascii="Tahoma" w:hAnsi="Tahoma" w:cs="Tahoma"/>
          <w:sz w:val="22"/>
          <w:szCs w:val="22"/>
        </w:rPr>
        <w:t xml:space="preserve"> a favor del Postor.</w:t>
      </w:r>
    </w:p>
    <w:p w:rsidR="00EF6D22" w:rsidRPr="00EF6D22" w:rsidRDefault="00EF6D22" w:rsidP="00EF6D22">
      <w:pPr>
        <w:pStyle w:val="Prrafodelista"/>
        <w:rPr>
          <w:rFonts w:ascii="Tahoma" w:hAnsi="Tahoma" w:cs="Tahoma"/>
          <w:sz w:val="22"/>
          <w:szCs w:val="22"/>
        </w:rPr>
      </w:pPr>
    </w:p>
    <w:p w:rsidR="00EF6D22" w:rsidRPr="00EF6D22" w:rsidRDefault="00EF6D22" w:rsidP="00EF6D22">
      <w:pPr>
        <w:pStyle w:val="Prrafodelista"/>
        <w:widowControl/>
        <w:numPr>
          <w:ilvl w:val="0"/>
          <w:numId w:val="7"/>
        </w:numPr>
        <w:suppressAutoHyphens w:val="0"/>
        <w:ind w:left="567" w:hanging="567"/>
        <w:contextualSpacing/>
        <w:jc w:val="both"/>
        <w:rPr>
          <w:rFonts w:ascii="Tahoma" w:hAnsi="Tahoma" w:cs="Tahoma"/>
          <w:sz w:val="22"/>
          <w:szCs w:val="22"/>
        </w:rPr>
      </w:pPr>
      <w:r w:rsidRPr="00EF6D22">
        <w:rPr>
          <w:rFonts w:ascii="Tahoma" w:hAnsi="Tahoma" w:cs="Tahoma"/>
          <w:sz w:val="22"/>
          <w:szCs w:val="22"/>
        </w:rPr>
        <w:t>Mediante escrito de fecha 30 de abril de 2010, la Entidad citó al Postor con la finalidad de suscribir el contrato.</w:t>
      </w:r>
    </w:p>
    <w:p w:rsidR="00EF6D22" w:rsidRPr="00EF6D22" w:rsidRDefault="00EF6D22" w:rsidP="00EF6D22">
      <w:pPr>
        <w:pStyle w:val="Prrafodelista"/>
        <w:rPr>
          <w:rFonts w:ascii="Tahoma" w:hAnsi="Tahoma" w:cs="Tahoma"/>
          <w:sz w:val="22"/>
          <w:szCs w:val="22"/>
        </w:rPr>
      </w:pPr>
    </w:p>
    <w:p w:rsidR="00EF6D22" w:rsidRPr="00EF6D22" w:rsidRDefault="00EF6D22" w:rsidP="00EF6D22">
      <w:pPr>
        <w:pStyle w:val="Prrafodelista"/>
        <w:widowControl/>
        <w:numPr>
          <w:ilvl w:val="0"/>
          <w:numId w:val="7"/>
        </w:numPr>
        <w:suppressAutoHyphens w:val="0"/>
        <w:ind w:left="567" w:hanging="567"/>
        <w:contextualSpacing/>
        <w:jc w:val="both"/>
        <w:rPr>
          <w:rFonts w:ascii="Tahoma" w:hAnsi="Tahoma" w:cs="Tahoma"/>
          <w:sz w:val="22"/>
          <w:szCs w:val="22"/>
        </w:rPr>
      </w:pPr>
      <w:r w:rsidRPr="00EF6D22">
        <w:rPr>
          <w:rFonts w:ascii="Tahoma" w:hAnsi="Tahoma" w:cs="Tahoma"/>
          <w:sz w:val="22"/>
          <w:szCs w:val="22"/>
        </w:rPr>
        <w:t>A través del escrito de fecha 13 de mayo de 2010, el Postor adjuntó la documentación solicitada por la Entidad.</w:t>
      </w:r>
    </w:p>
    <w:p w:rsidR="00EF6D22" w:rsidRPr="00EF6D22" w:rsidRDefault="00EF6D22" w:rsidP="00EF6D22">
      <w:pPr>
        <w:pStyle w:val="Prrafodelista"/>
        <w:rPr>
          <w:rFonts w:ascii="Tahoma" w:hAnsi="Tahoma" w:cs="Tahoma"/>
          <w:sz w:val="22"/>
          <w:szCs w:val="22"/>
        </w:rPr>
      </w:pPr>
    </w:p>
    <w:p w:rsidR="00EF6D22" w:rsidRPr="00EF6D22" w:rsidRDefault="00EF6D22" w:rsidP="00EF6D22">
      <w:pPr>
        <w:pStyle w:val="Prrafodelista"/>
        <w:widowControl/>
        <w:numPr>
          <w:ilvl w:val="0"/>
          <w:numId w:val="7"/>
        </w:numPr>
        <w:suppressAutoHyphens w:val="0"/>
        <w:ind w:left="567" w:hanging="567"/>
        <w:contextualSpacing/>
        <w:jc w:val="both"/>
        <w:rPr>
          <w:rFonts w:ascii="Tahoma" w:hAnsi="Tahoma" w:cs="Tahoma"/>
          <w:sz w:val="22"/>
          <w:szCs w:val="22"/>
        </w:rPr>
      </w:pPr>
      <w:r w:rsidRPr="00EF6D22">
        <w:rPr>
          <w:rFonts w:ascii="Tahoma" w:hAnsi="Tahoma" w:cs="Tahoma"/>
          <w:sz w:val="22"/>
          <w:szCs w:val="22"/>
        </w:rPr>
        <w:t>Con Carta 166-2010-CMAC/LOGI de fecha 17 de mayo de 2010, la Entidad solicitó a la entidad financiera SCOTIABANK, a fin que confirme la autenticidad de la Carta Fianza Nº 010155818 00 de fecha 13 de mayo de 2010, presentada por el Postor.</w:t>
      </w:r>
    </w:p>
    <w:p w:rsidR="00EF6D22" w:rsidRPr="00EF6D22" w:rsidRDefault="00EF6D22" w:rsidP="00EF6D22">
      <w:pPr>
        <w:pStyle w:val="Prrafodelista"/>
        <w:rPr>
          <w:rFonts w:ascii="Tahoma" w:hAnsi="Tahoma" w:cs="Tahoma"/>
          <w:sz w:val="22"/>
          <w:szCs w:val="22"/>
        </w:rPr>
      </w:pPr>
    </w:p>
    <w:p w:rsidR="00EF6D22" w:rsidRPr="00EF6D22" w:rsidRDefault="00EF6D22" w:rsidP="00EF6D22">
      <w:pPr>
        <w:pStyle w:val="Prrafodelista"/>
        <w:widowControl/>
        <w:numPr>
          <w:ilvl w:val="0"/>
          <w:numId w:val="7"/>
        </w:numPr>
        <w:suppressAutoHyphens w:val="0"/>
        <w:ind w:left="567" w:hanging="567"/>
        <w:contextualSpacing/>
        <w:jc w:val="both"/>
        <w:rPr>
          <w:rFonts w:ascii="Tahoma" w:hAnsi="Tahoma" w:cs="Tahoma"/>
          <w:sz w:val="22"/>
          <w:szCs w:val="22"/>
        </w:rPr>
      </w:pPr>
      <w:r w:rsidRPr="00EF6D22">
        <w:rPr>
          <w:rFonts w:ascii="Tahoma" w:hAnsi="Tahoma" w:cs="Tahoma"/>
          <w:sz w:val="22"/>
          <w:szCs w:val="22"/>
        </w:rPr>
        <w:t>Mediante escrito de fecha 18 de mayo de 2010, la entidad financiera SCOTIABANK informó a la Entidad lo siguiente:</w:t>
      </w:r>
    </w:p>
    <w:p w:rsidR="00EF6D22" w:rsidRPr="00EF6D22" w:rsidRDefault="00EF6D22" w:rsidP="00EF6D22">
      <w:pPr>
        <w:rPr>
          <w:rFonts w:ascii="Tahoma" w:hAnsi="Tahoma" w:cs="Tahoma"/>
          <w:sz w:val="22"/>
          <w:szCs w:val="22"/>
        </w:rPr>
      </w:pPr>
    </w:p>
    <w:p w:rsidR="00EF6D22" w:rsidRPr="00EF6D22" w:rsidRDefault="00EF6D22" w:rsidP="00EF6D22">
      <w:pPr>
        <w:pStyle w:val="Prrafodelista"/>
        <w:widowControl/>
        <w:suppressAutoHyphens w:val="0"/>
        <w:ind w:left="1134" w:right="566"/>
        <w:contextualSpacing/>
        <w:jc w:val="both"/>
        <w:rPr>
          <w:rFonts w:ascii="Tahoma" w:hAnsi="Tahoma" w:cs="Tahoma"/>
          <w:i/>
          <w:sz w:val="22"/>
          <w:szCs w:val="22"/>
        </w:rPr>
      </w:pPr>
      <w:r w:rsidRPr="00EF6D22">
        <w:rPr>
          <w:rFonts w:ascii="Tahoma" w:hAnsi="Tahoma" w:cs="Tahoma"/>
          <w:i/>
          <w:sz w:val="22"/>
          <w:szCs w:val="22"/>
        </w:rPr>
        <w:lastRenderedPageBreak/>
        <w:t>“Damos respuesta a su Oficio indicado en la referencia donde solicita confirmación de una supuesta Carta Fianza con numeración 010155818 00 Garantizando a la empresa ALARMAS PERUANAS S.A.</w:t>
      </w:r>
    </w:p>
    <w:p w:rsidR="00EF6D22" w:rsidRPr="00EF6D22" w:rsidRDefault="00EF6D22" w:rsidP="00EF6D22">
      <w:pPr>
        <w:pStyle w:val="Prrafodelista"/>
        <w:widowControl/>
        <w:suppressAutoHyphens w:val="0"/>
        <w:ind w:left="1134" w:right="566"/>
        <w:contextualSpacing/>
        <w:jc w:val="both"/>
        <w:rPr>
          <w:rFonts w:ascii="Tahoma" w:hAnsi="Tahoma" w:cs="Tahoma"/>
          <w:i/>
          <w:sz w:val="22"/>
          <w:szCs w:val="22"/>
        </w:rPr>
      </w:pPr>
    </w:p>
    <w:p w:rsidR="00EF6D22" w:rsidRPr="00EF6D22" w:rsidRDefault="00EF6D22" w:rsidP="00EF6D22">
      <w:pPr>
        <w:pStyle w:val="Prrafodelista"/>
        <w:widowControl/>
        <w:suppressAutoHyphens w:val="0"/>
        <w:ind w:left="1134" w:right="566"/>
        <w:contextualSpacing/>
        <w:jc w:val="both"/>
        <w:rPr>
          <w:rFonts w:ascii="Tahoma" w:hAnsi="Tahoma" w:cs="Tahoma"/>
          <w:i/>
          <w:sz w:val="22"/>
          <w:szCs w:val="22"/>
        </w:rPr>
      </w:pPr>
      <w:r w:rsidRPr="00EF6D22">
        <w:rPr>
          <w:rFonts w:ascii="Tahoma" w:hAnsi="Tahoma" w:cs="Tahoma"/>
          <w:i/>
          <w:sz w:val="22"/>
          <w:szCs w:val="22"/>
        </w:rPr>
        <w:t>Al respecto les expresamos que NO damos autenticidad a dicho documento por tratarse de una Carta Fianza falsificada, que no ha sido emitido por nuestro Banco, haciendo presente además que la numeración y el papel utilizado para esta carta es totalmente diferente a los que el Banco acostumbra a utilizar. En síntesis, esta carta fianza no ha sido otorgada por nuestro Banco”</w:t>
      </w:r>
    </w:p>
    <w:p w:rsidR="00EF6D22" w:rsidRPr="00EF6D22" w:rsidRDefault="00EF6D22" w:rsidP="00EF6D22">
      <w:pPr>
        <w:pStyle w:val="Prrafodelista"/>
        <w:widowControl/>
        <w:suppressAutoHyphens w:val="0"/>
        <w:ind w:left="567"/>
        <w:contextualSpacing/>
        <w:jc w:val="both"/>
        <w:rPr>
          <w:rFonts w:ascii="Tahoma" w:hAnsi="Tahoma" w:cs="Tahoma"/>
          <w:sz w:val="22"/>
          <w:szCs w:val="22"/>
        </w:rPr>
      </w:pPr>
    </w:p>
    <w:p w:rsidR="00EF6D22" w:rsidRPr="00EF6D22" w:rsidRDefault="00EF6D22" w:rsidP="00EF6D22">
      <w:pPr>
        <w:pStyle w:val="Prrafodelista"/>
        <w:widowControl/>
        <w:numPr>
          <w:ilvl w:val="0"/>
          <w:numId w:val="7"/>
        </w:numPr>
        <w:suppressAutoHyphens w:val="0"/>
        <w:ind w:left="567" w:hanging="567"/>
        <w:contextualSpacing/>
        <w:jc w:val="both"/>
        <w:rPr>
          <w:rFonts w:ascii="Tahoma" w:hAnsi="Tahoma" w:cs="Tahoma"/>
          <w:sz w:val="22"/>
          <w:szCs w:val="22"/>
        </w:rPr>
      </w:pPr>
      <w:r w:rsidRPr="00EF6D22">
        <w:rPr>
          <w:rFonts w:ascii="Tahoma" w:hAnsi="Tahoma" w:cs="Tahoma"/>
          <w:sz w:val="22"/>
          <w:szCs w:val="22"/>
        </w:rPr>
        <w:t>A través de la Resolución Nº 008-2010/GMAN de fecha 24 de mayo de 2010, la Entidad declaró, entre otros, la nulidad del otorgamiento de la Buena Pro de la Adjudicación Directa Selectiva ADS 025-2008/CMAC-AREQUIPA, adjudicada a favor del Postor, por la presentación de documentación falsa para la suscripción del contrato.</w:t>
      </w:r>
    </w:p>
    <w:p w:rsidR="00EF6D22" w:rsidRPr="00EF6D22" w:rsidRDefault="00EF6D22" w:rsidP="00EF6D22">
      <w:pPr>
        <w:pStyle w:val="Prrafodelista"/>
        <w:widowControl/>
        <w:suppressAutoHyphens w:val="0"/>
        <w:ind w:left="567"/>
        <w:contextualSpacing/>
        <w:jc w:val="both"/>
        <w:rPr>
          <w:rFonts w:ascii="Tahoma" w:hAnsi="Tahoma" w:cs="Tahoma"/>
          <w:sz w:val="22"/>
          <w:szCs w:val="22"/>
        </w:rPr>
      </w:pPr>
    </w:p>
    <w:p w:rsidR="00EF6D22" w:rsidRPr="00EF6D22" w:rsidRDefault="00EF6D22" w:rsidP="00EF6D22">
      <w:pPr>
        <w:pStyle w:val="Prrafodelista"/>
        <w:widowControl/>
        <w:numPr>
          <w:ilvl w:val="0"/>
          <w:numId w:val="7"/>
        </w:numPr>
        <w:suppressAutoHyphens w:val="0"/>
        <w:ind w:left="567" w:hanging="567"/>
        <w:contextualSpacing/>
        <w:jc w:val="both"/>
        <w:rPr>
          <w:rFonts w:ascii="Tahoma" w:hAnsi="Tahoma" w:cs="Tahoma"/>
          <w:sz w:val="22"/>
          <w:szCs w:val="22"/>
        </w:rPr>
      </w:pPr>
      <w:r w:rsidRPr="00EF6D22">
        <w:rPr>
          <w:rFonts w:ascii="Tahoma" w:hAnsi="Tahoma" w:cs="Tahoma"/>
          <w:sz w:val="22"/>
          <w:szCs w:val="22"/>
        </w:rPr>
        <w:t>Mediante escrito presentado el 20 de agosto de 2010, ante la Oficina Desconcentrada de OSCE, ubicada en la ciudad de Arequipa, y remitido a la Mesa de Partes del Tribunal el 23 de agosto de 2010, la Entidad puso en conocimiento del Tribunal, los hechos anteriormente descritos, solicitando la correspondiente aplicación de sanción contra el Postor, por haber presentado supuesta documentación falsa.</w:t>
      </w:r>
    </w:p>
    <w:p w:rsidR="00EF6D22" w:rsidRPr="00EF6D22" w:rsidRDefault="00EF6D22" w:rsidP="00EF6D22">
      <w:pPr>
        <w:pStyle w:val="Prrafodelista"/>
        <w:ind w:left="567"/>
        <w:rPr>
          <w:rFonts w:ascii="Tahoma" w:hAnsi="Tahoma" w:cs="Tahoma"/>
          <w:sz w:val="22"/>
          <w:szCs w:val="22"/>
        </w:rPr>
      </w:pPr>
    </w:p>
    <w:p w:rsidR="00EF6D22" w:rsidRPr="00EF6D22" w:rsidRDefault="00EF6D22" w:rsidP="00EF6D22">
      <w:pPr>
        <w:pStyle w:val="Prrafodelista"/>
        <w:widowControl/>
        <w:numPr>
          <w:ilvl w:val="0"/>
          <w:numId w:val="7"/>
        </w:numPr>
        <w:suppressAutoHyphens w:val="0"/>
        <w:ind w:left="567" w:hanging="567"/>
        <w:contextualSpacing/>
        <w:jc w:val="both"/>
        <w:rPr>
          <w:rFonts w:ascii="Tahoma" w:hAnsi="Tahoma" w:cs="Tahoma"/>
          <w:sz w:val="22"/>
          <w:szCs w:val="22"/>
        </w:rPr>
      </w:pPr>
      <w:r w:rsidRPr="00EF6D22">
        <w:rPr>
          <w:rFonts w:ascii="Tahoma" w:hAnsi="Tahoma" w:cs="Tahoma"/>
          <w:sz w:val="22"/>
          <w:szCs w:val="22"/>
        </w:rPr>
        <w:t>Con decreto de fecha 26 de agosto de 2010, se inició procedimiento administrativo sancionador contra el Postor, por su supuesta responsabilidad en la presentación de la Carta Fianza del Banco Scotiabank Nº 01015581800 de fecha 13 de mayo de 2001, documento supuestamente falso o inexacto, presentado en el marco del proceso de selección Adjudicación Directa Selectiva ADS 025-2008/CMAC-AREQUIPA. Asimismo, se le emplazó para que dentro del plazo de diez (10) días hábiles cumpla con presentar sus descargos.</w:t>
      </w:r>
    </w:p>
    <w:p w:rsidR="00EF6D22" w:rsidRPr="00EF6D22" w:rsidRDefault="00EF6D22" w:rsidP="00EF6D22">
      <w:pPr>
        <w:pStyle w:val="Prrafodelista"/>
        <w:rPr>
          <w:rFonts w:ascii="Tahoma" w:hAnsi="Tahoma" w:cs="Tahoma"/>
          <w:sz w:val="22"/>
          <w:szCs w:val="22"/>
        </w:rPr>
      </w:pPr>
    </w:p>
    <w:p w:rsidR="00EF6D22" w:rsidRPr="00EF6D22" w:rsidRDefault="00EF6D22" w:rsidP="00EF6D22">
      <w:pPr>
        <w:pStyle w:val="Prrafodelista"/>
        <w:widowControl/>
        <w:numPr>
          <w:ilvl w:val="0"/>
          <w:numId w:val="7"/>
        </w:numPr>
        <w:suppressAutoHyphens w:val="0"/>
        <w:ind w:left="567" w:hanging="567"/>
        <w:contextualSpacing/>
        <w:jc w:val="both"/>
        <w:rPr>
          <w:rFonts w:ascii="Tahoma" w:hAnsi="Tahoma" w:cs="Tahoma"/>
          <w:sz w:val="22"/>
          <w:szCs w:val="22"/>
        </w:rPr>
      </w:pPr>
      <w:r w:rsidRPr="00EF6D22">
        <w:rPr>
          <w:rFonts w:ascii="Tahoma" w:hAnsi="Tahoma" w:cs="Tahoma"/>
          <w:sz w:val="22"/>
          <w:szCs w:val="22"/>
        </w:rPr>
        <w:t>Teniendo en cuenta que el Postor no cumplió con presentar sus descargos, dentro del plazo otorgado, se hizo efectivo el apercibimiento de resolver con la documentación obrante en autos, remitiéndose el presente expediente a la Primera Sala del Tribunal.</w:t>
      </w:r>
    </w:p>
    <w:p w:rsidR="00EF6D22" w:rsidRPr="00EF6D22" w:rsidRDefault="00EF6D22" w:rsidP="00EF6D22">
      <w:pPr>
        <w:rPr>
          <w:rFonts w:ascii="Tahoma" w:hAnsi="Tahoma" w:cs="Tahoma"/>
          <w:b/>
          <w:sz w:val="22"/>
          <w:szCs w:val="22"/>
          <w:lang w:val="es-ES_tradnl"/>
        </w:rPr>
      </w:pPr>
    </w:p>
    <w:p w:rsidR="00EF6D22" w:rsidRPr="00EF6D22" w:rsidRDefault="00EF6D22" w:rsidP="00EF6D22">
      <w:pPr>
        <w:pStyle w:val="Prrafodelista"/>
        <w:numPr>
          <w:ilvl w:val="0"/>
          <w:numId w:val="1"/>
        </w:numPr>
        <w:ind w:left="567" w:hanging="283"/>
        <w:rPr>
          <w:rFonts w:ascii="Tahoma" w:hAnsi="Tahoma" w:cs="Tahoma"/>
          <w:b/>
          <w:sz w:val="22"/>
          <w:szCs w:val="22"/>
        </w:rPr>
      </w:pPr>
      <w:r w:rsidRPr="00EF6D22">
        <w:rPr>
          <w:rFonts w:ascii="Tahoma" w:hAnsi="Tahoma" w:cs="Tahoma"/>
          <w:b/>
          <w:sz w:val="22"/>
          <w:szCs w:val="22"/>
        </w:rPr>
        <w:t>FUNDAMENTACIÓN</w:t>
      </w:r>
    </w:p>
    <w:p w:rsidR="00EF6D22" w:rsidRPr="00EF6D22" w:rsidRDefault="00EF6D22" w:rsidP="00EF6D22">
      <w:pPr>
        <w:ind w:left="426"/>
        <w:jc w:val="both"/>
        <w:rPr>
          <w:rFonts w:ascii="Tahoma" w:hAnsi="Tahoma" w:cs="Tahoma"/>
          <w:sz w:val="22"/>
          <w:szCs w:val="22"/>
          <w:lang w:eastAsia="es-PE"/>
        </w:rPr>
      </w:pPr>
    </w:p>
    <w:p w:rsidR="00EF6D22" w:rsidRPr="00EF6D22" w:rsidRDefault="00EF6D22" w:rsidP="00EF6D22">
      <w:pPr>
        <w:pStyle w:val="Prrafodelista"/>
        <w:widowControl/>
        <w:numPr>
          <w:ilvl w:val="0"/>
          <w:numId w:val="8"/>
        </w:numPr>
        <w:suppressAutoHyphens w:val="0"/>
        <w:ind w:left="567" w:hanging="567"/>
        <w:contextualSpacing/>
        <w:jc w:val="both"/>
        <w:rPr>
          <w:rFonts w:ascii="Tahoma" w:hAnsi="Tahoma" w:cs="Tahoma"/>
          <w:sz w:val="22"/>
          <w:szCs w:val="22"/>
          <w:lang w:val="es-PE"/>
        </w:rPr>
      </w:pPr>
      <w:r w:rsidRPr="00EF6D22">
        <w:rPr>
          <w:rFonts w:ascii="Tahoma" w:hAnsi="Tahoma" w:cs="Tahoma"/>
          <w:sz w:val="22"/>
          <w:szCs w:val="22"/>
          <w:lang w:val="es-PE"/>
        </w:rPr>
        <w:t>El presente procedimiento administrativo sancionador ha sido iniciado contra el Postor, por su supuesta responsabilidad en la presentación de documentación falsa o información inexacta a la Entidad; infracción tipificada en el literal i) del numeral 51.1 del artículo 51 de la Ley de Contrataciones del Estado</w:t>
      </w:r>
      <w:r w:rsidRPr="00EF6D22">
        <w:rPr>
          <w:rStyle w:val="Refdenotaalpie"/>
          <w:rFonts w:ascii="Tahoma" w:hAnsi="Tahoma" w:cs="Tahoma"/>
          <w:sz w:val="22"/>
          <w:szCs w:val="22"/>
          <w:lang w:val="es-PE"/>
        </w:rPr>
        <w:footnoteReference w:id="5"/>
      </w:r>
      <w:r w:rsidRPr="00EF6D22">
        <w:rPr>
          <w:rFonts w:ascii="Tahoma" w:hAnsi="Tahoma" w:cs="Tahoma"/>
          <w:sz w:val="22"/>
          <w:szCs w:val="22"/>
          <w:lang w:val="es-PE"/>
        </w:rPr>
        <w:t xml:space="preserve">, en adelante </w:t>
      </w:r>
      <w:r w:rsidRPr="00EF6D22">
        <w:rPr>
          <w:rFonts w:ascii="Tahoma" w:hAnsi="Tahoma" w:cs="Tahoma"/>
          <w:sz w:val="22"/>
          <w:szCs w:val="22"/>
          <w:lang w:val="es-PE"/>
        </w:rPr>
        <w:lastRenderedPageBreak/>
        <w:t>la Ley, así como el literal i) del numeral 1 del artículo 237 del Reglamento de la Ley de Contrataciones del Estado</w:t>
      </w:r>
      <w:r w:rsidRPr="00EF6D22">
        <w:rPr>
          <w:rStyle w:val="Refdenotaalpie"/>
          <w:rFonts w:ascii="Tahoma" w:hAnsi="Tahoma" w:cs="Tahoma"/>
          <w:sz w:val="22"/>
          <w:szCs w:val="22"/>
          <w:lang w:val="es-PE"/>
        </w:rPr>
        <w:footnoteReference w:id="6"/>
      </w:r>
      <w:r w:rsidRPr="00EF6D22">
        <w:rPr>
          <w:rFonts w:ascii="Tahoma" w:hAnsi="Tahoma" w:cs="Tahoma"/>
          <w:sz w:val="22"/>
          <w:szCs w:val="22"/>
          <w:lang w:val="es-PE"/>
        </w:rPr>
        <w:t>, en adelante el Reglamento, normativa aplicable al presente caso.</w:t>
      </w:r>
    </w:p>
    <w:p w:rsidR="00EF6D22" w:rsidRPr="00EF6D22" w:rsidRDefault="00EF6D22" w:rsidP="00EF6D22">
      <w:pPr>
        <w:pStyle w:val="Prrafodelista"/>
        <w:ind w:left="567"/>
        <w:contextualSpacing/>
        <w:jc w:val="both"/>
        <w:rPr>
          <w:rFonts w:ascii="Tahoma" w:hAnsi="Tahoma" w:cs="Tahoma"/>
          <w:sz w:val="22"/>
          <w:szCs w:val="22"/>
          <w:lang w:val="es-PE"/>
        </w:rPr>
      </w:pPr>
    </w:p>
    <w:p w:rsidR="00EF6D22" w:rsidRPr="00EF6D22" w:rsidRDefault="00EF6D22" w:rsidP="00EF6D22">
      <w:pPr>
        <w:pStyle w:val="Prrafodelista"/>
        <w:widowControl/>
        <w:numPr>
          <w:ilvl w:val="0"/>
          <w:numId w:val="8"/>
        </w:numPr>
        <w:suppressAutoHyphens w:val="0"/>
        <w:ind w:left="567" w:hanging="567"/>
        <w:contextualSpacing/>
        <w:jc w:val="both"/>
        <w:rPr>
          <w:rFonts w:ascii="Tahoma" w:hAnsi="Tahoma" w:cs="Tahoma"/>
          <w:sz w:val="22"/>
          <w:szCs w:val="22"/>
          <w:lang w:val="es-PE"/>
        </w:rPr>
      </w:pPr>
      <w:r w:rsidRPr="00EF6D22">
        <w:rPr>
          <w:rFonts w:ascii="Tahoma" w:hAnsi="Tahoma" w:cs="Tahoma"/>
          <w:sz w:val="22"/>
          <w:szCs w:val="22"/>
          <w:lang w:val="es-PE"/>
        </w:rPr>
        <w:t>Sobre el particular, las normas antes citadas, establecen que los proveedores, participantes, postores y/o contratistas incurrirán en infracción susceptible de sanción cuando presenten documentos falsos o información inexacta a las Entidades, al Tribunal o al OSCE.</w:t>
      </w:r>
    </w:p>
    <w:p w:rsidR="00EF6D22" w:rsidRPr="00EF6D22" w:rsidRDefault="00EF6D22" w:rsidP="00EF6D22">
      <w:pPr>
        <w:pStyle w:val="Prrafodelista"/>
        <w:ind w:left="567"/>
        <w:rPr>
          <w:rFonts w:ascii="Tahoma" w:hAnsi="Tahoma" w:cs="Tahoma"/>
          <w:sz w:val="22"/>
          <w:szCs w:val="22"/>
          <w:lang w:val="es-PE"/>
        </w:rPr>
      </w:pPr>
    </w:p>
    <w:p w:rsidR="00EF6D22" w:rsidRPr="00EF6D22" w:rsidRDefault="00EF6D22" w:rsidP="00EF6D22">
      <w:pPr>
        <w:pStyle w:val="Prrafodelista"/>
        <w:ind w:left="567"/>
        <w:contextualSpacing/>
        <w:jc w:val="both"/>
        <w:rPr>
          <w:rFonts w:ascii="Tahoma" w:hAnsi="Tahoma" w:cs="Tahoma"/>
          <w:sz w:val="22"/>
          <w:szCs w:val="22"/>
          <w:lang w:val="es-PE"/>
        </w:rPr>
      </w:pPr>
      <w:r w:rsidRPr="00EF6D22">
        <w:rPr>
          <w:rFonts w:ascii="Tahoma" w:hAnsi="Tahoma" w:cs="Tahoma"/>
          <w:sz w:val="22"/>
          <w:szCs w:val="22"/>
          <w:lang w:val="es-PE"/>
        </w:rPr>
        <w:t>Dicha infracción se configura con la sola presentación del documento falso o inexacto, sin que la norma exija otros factores adicionales.</w:t>
      </w:r>
    </w:p>
    <w:p w:rsidR="00EF6D22" w:rsidRPr="00EF6D22" w:rsidRDefault="00EF6D22" w:rsidP="00EF6D22">
      <w:pPr>
        <w:pStyle w:val="Prrafodelista"/>
        <w:ind w:left="567"/>
        <w:rPr>
          <w:rFonts w:ascii="Tahoma" w:hAnsi="Tahoma" w:cs="Tahoma"/>
          <w:sz w:val="22"/>
          <w:szCs w:val="22"/>
          <w:lang w:val="es-PE"/>
        </w:rPr>
      </w:pPr>
    </w:p>
    <w:p w:rsidR="00EF6D22" w:rsidRPr="00EF6D22" w:rsidRDefault="00EF6D22" w:rsidP="00EF6D22">
      <w:pPr>
        <w:pStyle w:val="Prrafodelista"/>
        <w:widowControl/>
        <w:numPr>
          <w:ilvl w:val="0"/>
          <w:numId w:val="8"/>
        </w:numPr>
        <w:suppressAutoHyphens w:val="0"/>
        <w:ind w:left="567" w:hanging="567"/>
        <w:contextualSpacing/>
        <w:jc w:val="both"/>
        <w:rPr>
          <w:rFonts w:ascii="Tahoma" w:hAnsi="Tahoma" w:cs="Tahoma"/>
          <w:sz w:val="22"/>
          <w:szCs w:val="22"/>
          <w:lang w:val="es-PE"/>
        </w:rPr>
      </w:pPr>
      <w:r w:rsidRPr="00EF6D22">
        <w:rPr>
          <w:rFonts w:ascii="Tahoma" w:hAnsi="Tahoma" w:cs="Tahoma"/>
          <w:sz w:val="22"/>
          <w:szCs w:val="22"/>
          <w:lang w:val="es-PE"/>
        </w:rPr>
        <w:t xml:space="preserve">Para la configuración de los supuestos de hecho de la norma que contiene la infracción imputada se requiere acreditar la falsedad o inexactitud del documento cuestionado; es decir, que éste no haya sido expedido por el órgano emisor correspondiente, o que siendo válidamente expedido haya sido adulterado en su contenido, o que éste sea incongruente con la realidad, produciendo un falseamiento de ésta, a través del quebrantamiento de los </w:t>
      </w:r>
      <w:r w:rsidRPr="00EF6D22">
        <w:rPr>
          <w:rFonts w:ascii="Tahoma" w:hAnsi="Tahoma" w:cs="Tahoma"/>
          <w:i/>
          <w:sz w:val="22"/>
          <w:szCs w:val="22"/>
          <w:lang w:val="es-PE"/>
        </w:rPr>
        <w:t>Principios de Moralidad</w:t>
      </w:r>
      <w:r w:rsidRPr="00EF6D22">
        <w:rPr>
          <w:rFonts w:ascii="Tahoma" w:hAnsi="Tahoma" w:cs="Tahoma"/>
          <w:sz w:val="22"/>
          <w:szCs w:val="22"/>
          <w:lang w:val="es-PE"/>
        </w:rPr>
        <w:t xml:space="preserve"> y de </w:t>
      </w:r>
      <w:r w:rsidRPr="00EF6D22">
        <w:rPr>
          <w:rFonts w:ascii="Tahoma" w:hAnsi="Tahoma" w:cs="Tahoma"/>
          <w:i/>
          <w:sz w:val="22"/>
          <w:szCs w:val="22"/>
          <w:lang w:val="es-PE"/>
        </w:rPr>
        <w:t>Presunción de Veracidad</w:t>
      </w:r>
      <w:r w:rsidRPr="00EF6D22">
        <w:rPr>
          <w:rFonts w:ascii="Tahoma" w:hAnsi="Tahoma" w:cs="Tahoma"/>
          <w:sz w:val="22"/>
          <w:szCs w:val="22"/>
          <w:lang w:val="es-PE"/>
        </w:rPr>
        <w:t>, de conformidad con lo establecido en el literal b) del artículo 4 de la Ley, en concordancia con lo dispuesto en el numeral 1.7 del Artículo IV del Título Preliminar y el numeral 42.1 del artículo 42 de la Ley del Procedimiento Administrativo General, Ley Nº 27444.</w:t>
      </w:r>
    </w:p>
    <w:p w:rsidR="00EF6D22" w:rsidRPr="00EF6D22" w:rsidRDefault="00EF6D22" w:rsidP="00EF6D22">
      <w:pPr>
        <w:pStyle w:val="Prrafodelista"/>
        <w:ind w:left="567"/>
        <w:contextualSpacing/>
        <w:jc w:val="both"/>
        <w:rPr>
          <w:rFonts w:ascii="Tahoma" w:hAnsi="Tahoma" w:cs="Tahoma"/>
          <w:sz w:val="22"/>
          <w:szCs w:val="22"/>
          <w:lang w:val="es-PE"/>
        </w:rPr>
      </w:pPr>
    </w:p>
    <w:p w:rsidR="00EF6D22" w:rsidRPr="006978C5" w:rsidRDefault="00EF6D22" w:rsidP="00EF6D22">
      <w:pPr>
        <w:pStyle w:val="Prrafodelista"/>
        <w:widowControl/>
        <w:numPr>
          <w:ilvl w:val="0"/>
          <w:numId w:val="8"/>
        </w:numPr>
        <w:suppressAutoHyphens w:val="0"/>
        <w:ind w:left="567" w:hanging="567"/>
        <w:contextualSpacing/>
        <w:jc w:val="both"/>
        <w:rPr>
          <w:rFonts w:ascii="Tahoma" w:hAnsi="Tahoma" w:cs="Tahoma"/>
          <w:sz w:val="22"/>
          <w:szCs w:val="22"/>
          <w:lang w:val="es-PE"/>
        </w:rPr>
      </w:pPr>
      <w:r w:rsidRPr="00EF6D22">
        <w:rPr>
          <w:rFonts w:ascii="Tahoma" w:hAnsi="Tahoma" w:cs="Tahoma"/>
          <w:sz w:val="22"/>
          <w:szCs w:val="22"/>
          <w:lang w:val="es-PE"/>
        </w:rPr>
        <w:t xml:space="preserve">En el caso que nos ocupa, la imputación contra el Postor se refiere, en específico, </w:t>
      </w:r>
      <w:r w:rsidRPr="00EF6D22">
        <w:rPr>
          <w:rFonts w:ascii="Tahoma" w:hAnsi="Tahoma" w:cs="Tahoma"/>
          <w:sz w:val="22"/>
          <w:szCs w:val="22"/>
        </w:rPr>
        <w:t>a la supuesta falsedad o inexactitud de la Carta Fianza Nº 01015581800 de fecha 13 de mayo de 2001, supuestamente emitida por el Banco Scotiabank.</w:t>
      </w:r>
    </w:p>
    <w:p w:rsidR="006978C5" w:rsidRPr="006978C5" w:rsidRDefault="006978C5" w:rsidP="006978C5">
      <w:pPr>
        <w:pStyle w:val="Prrafodelista"/>
        <w:rPr>
          <w:rFonts w:ascii="Tahoma" w:hAnsi="Tahoma" w:cs="Tahoma"/>
          <w:sz w:val="22"/>
          <w:szCs w:val="22"/>
          <w:lang w:val="es-PE"/>
        </w:rPr>
      </w:pPr>
    </w:p>
    <w:p w:rsidR="00EF6D22" w:rsidRPr="006978C5" w:rsidRDefault="00EF6D22" w:rsidP="006978C5">
      <w:pPr>
        <w:pStyle w:val="Prrafodelista"/>
        <w:widowControl/>
        <w:numPr>
          <w:ilvl w:val="0"/>
          <w:numId w:val="8"/>
        </w:numPr>
        <w:suppressAutoHyphens w:val="0"/>
        <w:ind w:left="567" w:hanging="567"/>
        <w:contextualSpacing/>
        <w:jc w:val="both"/>
        <w:rPr>
          <w:rFonts w:ascii="Tahoma" w:hAnsi="Tahoma" w:cs="Tahoma"/>
          <w:sz w:val="22"/>
          <w:szCs w:val="22"/>
          <w:lang w:val="es-PE"/>
        </w:rPr>
      </w:pPr>
      <w:r w:rsidRPr="006978C5">
        <w:rPr>
          <w:rFonts w:ascii="Tahoma" w:hAnsi="Tahoma" w:cs="Tahoma"/>
          <w:sz w:val="22"/>
          <w:szCs w:val="22"/>
          <w:lang w:val="es-PE"/>
        </w:rPr>
        <w:t xml:space="preserve">Respecto a ello, obra en autos la Carta Nº 166-2010-CMAC/LOGI de fecha 17 de mayo de 2010, mediante la cual </w:t>
      </w:r>
      <w:r w:rsidRPr="006978C5">
        <w:rPr>
          <w:rFonts w:ascii="Tahoma" w:hAnsi="Tahoma" w:cs="Tahoma"/>
          <w:sz w:val="22"/>
          <w:szCs w:val="22"/>
        </w:rPr>
        <w:t>la entidad financiera SCOTIABANK informó a la Entidad lo siguiente:</w:t>
      </w:r>
    </w:p>
    <w:p w:rsidR="00EF6D22" w:rsidRPr="00EF6D22" w:rsidRDefault="00EF6D22" w:rsidP="00EF6D22">
      <w:pPr>
        <w:rPr>
          <w:rFonts w:ascii="Tahoma" w:hAnsi="Tahoma" w:cs="Tahoma"/>
          <w:sz w:val="22"/>
          <w:szCs w:val="22"/>
        </w:rPr>
      </w:pPr>
    </w:p>
    <w:p w:rsidR="00EF6D22" w:rsidRPr="00EF6D22" w:rsidRDefault="00EF6D22" w:rsidP="00EF6D22">
      <w:pPr>
        <w:pStyle w:val="Prrafodelista"/>
        <w:widowControl/>
        <w:suppressAutoHyphens w:val="0"/>
        <w:ind w:left="1134" w:right="566"/>
        <w:contextualSpacing/>
        <w:jc w:val="both"/>
        <w:rPr>
          <w:rFonts w:ascii="Tahoma" w:hAnsi="Tahoma" w:cs="Tahoma"/>
          <w:i/>
          <w:sz w:val="22"/>
          <w:szCs w:val="22"/>
        </w:rPr>
      </w:pPr>
      <w:r w:rsidRPr="00EF6D22">
        <w:rPr>
          <w:rFonts w:ascii="Tahoma" w:hAnsi="Tahoma" w:cs="Tahoma"/>
          <w:i/>
          <w:sz w:val="22"/>
          <w:szCs w:val="22"/>
        </w:rPr>
        <w:t>“Damos respuesta a su Oficio indicado en la referencia donde solicita confirmación de una supuesta Carta Fianza con numeración 010155818 00 Garantizando a la empresa ALARMAS PERUANAS S.A.</w:t>
      </w:r>
    </w:p>
    <w:p w:rsidR="00EF6D22" w:rsidRPr="00EF6D22" w:rsidRDefault="00EF6D22" w:rsidP="00EF6D22">
      <w:pPr>
        <w:pStyle w:val="Prrafodelista"/>
        <w:widowControl/>
        <w:suppressAutoHyphens w:val="0"/>
        <w:ind w:left="1134" w:right="566"/>
        <w:contextualSpacing/>
        <w:jc w:val="both"/>
        <w:rPr>
          <w:rFonts w:ascii="Tahoma" w:hAnsi="Tahoma" w:cs="Tahoma"/>
          <w:i/>
          <w:sz w:val="22"/>
          <w:szCs w:val="22"/>
        </w:rPr>
      </w:pPr>
    </w:p>
    <w:p w:rsidR="00EF6D22" w:rsidRPr="00EF6D22" w:rsidRDefault="00EF6D22" w:rsidP="00EF6D22">
      <w:pPr>
        <w:pStyle w:val="Prrafodelista"/>
        <w:widowControl/>
        <w:suppressAutoHyphens w:val="0"/>
        <w:ind w:left="1134" w:right="566"/>
        <w:contextualSpacing/>
        <w:jc w:val="both"/>
        <w:rPr>
          <w:rFonts w:ascii="Tahoma" w:hAnsi="Tahoma" w:cs="Tahoma"/>
          <w:i/>
          <w:sz w:val="22"/>
          <w:szCs w:val="22"/>
        </w:rPr>
      </w:pPr>
      <w:r w:rsidRPr="00EF6D22">
        <w:rPr>
          <w:rFonts w:ascii="Tahoma" w:hAnsi="Tahoma" w:cs="Tahoma"/>
          <w:i/>
          <w:sz w:val="22"/>
          <w:szCs w:val="22"/>
        </w:rPr>
        <w:t>Al respecto les expresamos que NO damos autenticidad a dicho documento por tratarse de una Carta Fianza falsificada, que no ha sido emitido por nuestro Banco, haciendo presente además que la numeración y el papel utilizado para esta carta es totalmente diferente a los que el Banco acostumbra a utilizar. En síntesis, esta carta fianza no ha sido otorgada por nuestro Banco”</w:t>
      </w:r>
    </w:p>
    <w:p w:rsidR="00EF6D22" w:rsidRPr="00EF6D22" w:rsidRDefault="00EF6D22" w:rsidP="00EF6D22">
      <w:pPr>
        <w:pStyle w:val="Prrafodelista"/>
        <w:widowControl/>
        <w:suppressAutoHyphens w:val="0"/>
        <w:ind w:left="567"/>
        <w:contextualSpacing/>
        <w:jc w:val="both"/>
        <w:rPr>
          <w:rFonts w:ascii="Tahoma" w:hAnsi="Tahoma" w:cs="Tahoma"/>
          <w:sz w:val="22"/>
          <w:szCs w:val="22"/>
          <w:lang w:val="es-PE"/>
        </w:rPr>
      </w:pPr>
    </w:p>
    <w:p w:rsidR="00EF6D22" w:rsidRPr="00EF6D22" w:rsidRDefault="00EF6D22" w:rsidP="00EF6D22">
      <w:pPr>
        <w:pStyle w:val="Prrafodelista"/>
        <w:widowControl/>
        <w:numPr>
          <w:ilvl w:val="0"/>
          <w:numId w:val="8"/>
        </w:numPr>
        <w:suppressAutoHyphens w:val="0"/>
        <w:ind w:left="567" w:hanging="567"/>
        <w:contextualSpacing/>
        <w:jc w:val="both"/>
        <w:rPr>
          <w:rFonts w:ascii="Tahoma" w:hAnsi="Tahoma" w:cs="Tahoma"/>
          <w:sz w:val="22"/>
          <w:szCs w:val="22"/>
          <w:lang w:val="es-PE"/>
        </w:rPr>
      </w:pPr>
      <w:r w:rsidRPr="00EF6D22">
        <w:rPr>
          <w:rFonts w:ascii="Tahoma" w:hAnsi="Tahoma" w:cs="Tahoma"/>
          <w:sz w:val="22"/>
          <w:szCs w:val="22"/>
          <w:lang w:val="es-PE"/>
        </w:rPr>
        <w:lastRenderedPageBreak/>
        <w:t xml:space="preserve">Sobre el particular, </w:t>
      </w:r>
      <w:r w:rsidRPr="00EF6D22">
        <w:rPr>
          <w:rFonts w:ascii="Tahoma" w:hAnsi="Tahoma" w:cs="Tahoma"/>
          <w:sz w:val="22"/>
          <w:szCs w:val="22"/>
          <w:lang w:val="es-MX"/>
        </w:rPr>
        <w:t xml:space="preserve">es pertinente señalar que </w:t>
      </w:r>
      <w:r w:rsidRPr="00EF6D22">
        <w:rPr>
          <w:rFonts w:ascii="Tahoma" w:hAnsi="Tahoma" w:cs="Tahoma"/>
          <w:sz w:val="22"/>
          <w:szCs w:val="22"/>
          <w:lang w:val="es-PE"/>
        </w:rPr>
        <w:t xml:space="preserve">respecto al cuestionamiento referido a la falsedad o inexactitud de determinados documentos, debe contarse con pruebas contundentes y fehacientes sobre la imputación efectuada, atendiendo a que el procedimiento administrativo se sustenta, además de otros, en el mencionado </w:t>
      </w:r>
      <w:r w:rsidRPr="00EF6D22">
        <w:rPr>
          <w:rFonts w:ascii="Tahoma" w:hAnsi="Tahoma" w:cs="Tahoma"/>
          <w:i/>
          <w:sz w:val="22"/>
          <w:szCs w:val="22"/>
          <w:lang w:val="es-PE"/>
        </w:rPr>
        <w:t>Principio de Presunción de Veracidad</w:t>
      </w:r>
      <w:r w:rsidRPr="00EF6D22">
        <w:rPr>
          <w:rFonts w:ascii="Tahoma" w:hAnsi="Tahoma" w:cs="Tahoma"/>
          <w:sz w:val="22"/>
          <w:szCs w:val="22"/>
          <w:lang w:val="es-PE"/>
        </w:rPr>
        <w:t>.</w:t>
      </w:r>
    </w:p>
    <w:p w:rsidR="00EF6D22" w:rsidRPr="00EF6D22" w:rsidRDefault="00EF6D22" w:rsidP="00EF6D22">
      <w:pPr>
        <w:pStyle w:val="Prrafodelista"/>
        <w:ind w:left="567"/>
        <w:rPr>
          <w:rFonts w:ascii="Tahoma" w:hAnsi="Tahoma" w:cs="Tahoma"/>
          <w:sz w:val="22"/>
          <w:szCs w:val="22"/>
          <w:lang w:val="es-PE"/>
        </w:rPr>
      </w:pPr>
    </w:p>
    <w:p w:rsidR="00EF6D22" w:rsidRPr="00EF6D22" w:rsidRDefault="00EF6D22" w:rsidP="00EF6D22">
      <w:pPr>
        <w:tabs>
          <w:tab w:val="left" w:pos="567"/>
        </w:tabs>
        <w:ind w:left="567"/>
        <w:jc w:val="both"/>
        <w:rPr>
          <w:rFonts w:ascii="Tahoma" w:hAnsi="Tahoma" w:cs="Tahoma"/>
          <w:sz w:val="22"/>
          <w:szCs w:val="22"/>
          <w:lang w:val="es-MX"/>
        </w:rPr>
      </w:pPr>
      <w:r w:rsidRPr="00EF6D22">
        <w:rPr>
          <w:rFonts w:ascii="Tahoma" w:hAnsi="Tahoma" w:cs="Tahoma"/>
          <w:sz w:val="22"/>
          <w:szCs w:val="22"/>
          <w:lang w:val="es-PE"/>
        </w:rPr>
        <w:t>Lo anterior se traduce en la obligación que recae sobre la Administración de presumir la Buena Fe y la legalidad de los actos que realizan los administrados, de tal manera que las sospechas, suposiciones o indicios respecto de una supuesta falsedad no son razón suficiente para desvirtuar dicha presunción, la cual sólo puede ser destruida mediante la probanza respectiva; asumir lo contrario, supondría avalar la presentación de denuncias de falsedad y/o inexactitud sin mayor sustento que las apreciaciones subjetivas de los denunciantes.</w:t>
      </w:r>
    </w:p>
    <w:p w:rsidR="00EF6D22" w:rsidRPr="00EF6D22" w:rsidRDefault="00EF6D22" w:rsidP="00EF6D22">
      <w:pPr>
        <w:pStyle w:val="Prrafodelista"/>
        <w:ind w:left="567"/>
        <w:rPr>
          <w:rFonts w:ascii="Tahoma" w:hAnsi="Tahoma" w:cs="Tahoma"/>
          <w:sz w:val="22"/>
          <w:szCs w:val="22"/>
          <w:lang w:val="es-MX"/>
        </w:rPr>
      </w:pPr>
    </w:p>
    <w:p w:rsidR="00EF6D22" w:rsidRPr="00EF6D22" w:rsidRDefault="00EF6D22" w:rsidP="00EF6D22">
      <w:pPr>
        <w:pStyle w:val="Prrafodelista"/>
        <w:widowControl/>
        <w:numPr>
          <w:ilvl w:val="0"/>
          <w:numId w:val="8"/>
        </w:numPr>
        <w:suppressAutoHyphens w:val="0"/>
        <w:ind w:left="567" w:hanging="567"/>
        <w:contextualSpacing/>
        <w:jc w:val="both"/>
        <w:rPr>
          <w:rFonts w:ascii="Tahoma" w:hAnsi="Tahoma" w:cs="Tahoma"/>
          <w:sz w:val="22"/>
          <w:szCs w:val="22"/>
          <w:lang w:val="es-PE"/>
        </w:rPr>
      </w:pPr>
      <w:r w:rsidRPr="00EF6D22">
        <w:rPr>
          <w:rFonts w:ascii="Tahoma" w:hAnsi="Tahoma" w:cs="Tahoma"/>
          <w:sz w:val="22"/>
          <w:szCs w:val="22"/>
          <w:lang w:val="es-MX"/>
        </w:rPr>
        <w:t>Precisamente, cuestión diferente ocurre en lo referido al documento cuestionado</w:t>
      </w:r>
      <w:r w:rsidRPr="00EF6D22">
        <w:rPr>
          <w:rFonts w:ascii="Tahoma" w:hAnsi="Tahoma" w:cs="Tahoma"/>
          <w:sz w:val="22"/>
          <w:szCs w:val="22"/>
        </w:rPr>
        <w:t>, ya que la entidad financiera SCOTIABANK, la misma que supuestamente habría emitido la Carta Fianza Nº 01015581800 de fecha 13 de mayo de 2001, expresamente señaló que el documento es falsificado, toda vez que no ha sido emitida ni otorgada por ella</w:t>
      </w:r>
      <w:r w:rsidRPr="00EF6D22">
        <w:rPr>
          <w:rFonts w:ascii="Tahoma" w:hAnsi="Tahoma" w:cs="Tahoma"/>
          <w:sz w:val="22"/>
          <w:szCs w:val="22"/>
          <w:lang w:val="es-PE"/>
        </w:rPr>
        <w:t xml:space="preserve">; </w:t>
      </w:r>
      <w:r w:rsidRPr="00EF6D22">
        <w:rPr>
          <w:rFonts w:ascii="Tahoma" w:hAnsi="Tahoma" w:cs="Tahoma"/>
          <w:sz w:val="22"/>
          <w:szCs w:val="22"/>
          <w:lang w:val="es-MX"/>
        </w:rPr>
        <w:t xml:space="preserve">lo cual, </w:t>
      </w:r>
      <w:r w:rsidRPr="00EF6D22">
        <w:rPr>
          <w:rFonts w:ascii="Tahoma" w:hAnsi="Tahoma" w:cs="Tahoma"/>
          <w:sz w:val="22"/>
          <w:szCs w:val="22"/>
        </w:rPr>
        <w:t>conforme a reiterados pronunciamientos de este Tribunal, constituye mérito suficiente para acreditar la inexactitud o falsedad de un documento</w:t>
      </w:r>
      <w:r w:rsidRPr="00EF6D22">
        <w:rPr>
          <w:rFonts w:ascii="Tahoma" w:hAnsi="Tahoma" w:cs="Tahoma"/>
          <w:sz w:val="22"/>
          <w:szCs w:val="22"/>
          <w:lang w:val="es-PE"/>
        </w:rPr>
        <w:t>.</w:t>
      </w:r>
    </w:p>
    <w:p w:rsidR="00EF6D22" w:rsidRPr="00EF6D22" w:rsidRDefault="00EF6D22" w:rsidP="00EF6D22">
      <w:pPr>
        <w:pStyle w:val="Prrafodelista"/>
        <w:ind w:left="567"/>
        <w:contextualSpacing/>
        <w:jc w:val="both"/>
        <w:rPr>
          <w:rFonts w:ascii="Tahoma" w:hAnsi="Tahoma" w:cs="Tahoma"/>
          <w:sz w:val="22"/>
          <w:szCs w:val="22"/>
          <w:lang w:val="es-PE"/>
        </w:rPr>
      </w:pPr>
    </w:p>
    <w:p w:rsidR="00EF6D22" w:rsidRPr="00EF6D22" w:rsidRDefault="00EF6D22" w:rsidP="00EF6D22">
      <w:pPr>
        <w:pStyle w:val="Prrafodelista"/>
        <w:widowControl/>
        <w:numPr>
          <w:ilvl w:val="0"/>
          <w:numId w:val="8"/>
        </w:numPr>
        <w:suppressAutoHyphens w:val="0"/>
        <w:ind w:left="567" w:hanging="567"/>
        <w:contextualSpacing/>
        <w:jc w:val="both"/>
        <w:rPr>
          <w:rFonts w:ascii="Tahoma" w:hAnsi="Tahoma" w:cs="Tahoma"/>
          <w:sz w:val="22"/>
          <w:szCs w:val="22"/>
          <w:lang w:val="es-MX"/>
        </w:rPr>
      </w:pPr>
      <w:r w:rsidRPr="00EF6D22">
        <w:rPr>
          <w:rFonts w:ascii="Tahoma" w:hAnsi="Tahoma" w:cs="Tahoma"/>
          <w:sz w:val="22"/>
          <w:szCs w:val="22"/>
        </w:rPr>
        <w:t>Ahora, tal como se señaló en los antecedentes de la presente resolución, el Postor no ha cumplido con presentar sus descargos, por lo que no existe alguna prueba que acredite la veracidad de los documentos en cuestión.</w:t>
      </w:r>
    </w:p>
    <w:p w:rsidR="00EF6D22" w:rsidRPr="00EF6D22" w:rsidRDefault="00EF6D22" w:rsidP="00EF6D22">
      <w:pPr>
        <w:pStyle w:val="Prrafodelista"/>
        <w:ind w:left="567"/>
        <w:rPr>
          <w:rFonts w:ascii="Tahoma" w:hAnsi="Tahoma" w:cs="Tahoma"/>
          <w:sz w:val="22"/>
          <w:szCs w:val="22"/>
          <w:lang w:val="es-MX"/>
        </w:rPr>
      </w:pPr>
    </w:p>
    <w:p w:rsidR="00EF6D22" w:rsidRPr="00EF6D22" w:rsidRDefault="00EF6D22" w:rsidP="00EF6D22">
      <w:pPr>
        <w:pStyle w:val="Prrafodelista"/>
        <w:widowControl/>
        <w:numPr>
          <w:ilvl w:val="0"/>
          <w:numId w:val="8"/>
        </w:numPr>
        <w:suppressAutoHyphens w:val="0"/>
        <w:ind w:left="567" w:hanging="567"/>
        <w:contextualSpacing/>
        <w:jc w:val="both"/>
        <w:rPr>
          <w:rFonts w:ascii="Tahoma" w:hAnsi="Tahoma" w:cs="Tahoma"/>
          <w:sz w:val="22"/>
          <w:szCs w:val="22"/>
          <w:lang w:val="es-MX"/>
        </w:rPr>
      </w:pPr>
      <w:r w:rsidRPr="00EF6D22">
        <w:rPr>
          <w:rFonts w:ascii="Tahoma" w:hAnsi="Tahoma" w:cs="Tahoma"/>
          <w:sz w:val="22"/>
          <w:szCs w:val="22"/>
          <w:lang w:val="es-PE"/>
        </w:rPr>
        <w:t xml:space="preserve">En tal sentido, este Colegiado considera que la </w:t>
      </w:r>
      <w:r w:rsidRPr="00EF6D22">
        <w:rPr>
          <w:rFonts w:ascii="Tahoma" w:hAnsi="Tahoma" w:cs="Tahoma"/>
          <w:sz w:val="22"/>
          <w:szCs w:val="22"/>
        </w:rPr>
        <w:t xml:space="preserve">Carta Fianza Nº 01015581800 de fecha 13 de mayo de 2001 se constituye como un documento falso, toda vez que no ha sido emitido por </w:t>
      </w:r>
      <w:r w:rsidRPr="00EF6D22">
        <w:rPr>
          <w:rFonts w:ascii="Tahoma" w:hAnsi="Tahoma" w:cs="Tahoma"/>
          <w:sz w:val="22"/>
          <w:szCs w:val="22"/>
          <w:lang w:val="es-PE"/>
        </w:rPr>
        <w:t>el supuesto agente emisor.</w:t>
      </w:r>
    </w:p>
    <w:p w:rsidR="00EF6D22" w:rsidRPr="00EF6D22" w:rsidRDefault="00EF6D22" w:rsidP="00EF6D22">
      <w:pPr>
        <w:pStyle w:val="Prrafodelista"/>
        <w:ind w:left="567"/>
        <w:contextualSpacing/>
        <w:jc w:val="both"/>
        <w:rPr>
          <w:rFonts w:ascii="Tahoma" w:hAnsi="Tahoma" w:cs="Tahoma"/>
          <w:sz w:val="22"/>
          <w:szCs w:val="22"/>
          <w:lang w:val="es-MX"/>
        </w:rPr>
      </w:pPr>
    </w:p>
    <w:p w:rsidR="00EF6D22" w:rsidRPr="00EF6D22" w:rsidRDefault="00EF6D22" w:rsidP="00EF6D22">
      <w:pPr>
        <w:pStyle w:val="Prrafodelista"/>
        <w:widowControl/>
        <w:numPr>
          <w:ilvl w:val="0"/>
          <w:numId w:val="8"/>
        </w:numPr>
        <w:suppressAutoHyphens w:val="0"/>
        <w:ind w:left="567" w:hanging="567"/>
        <w:contextualSpacing/>
        <w:jc w:val="both"/>
        <w:rPr>
          <w:rFonts w:ascii="Tahoma" w:hAnsi="Tahoma" w:cs="Tahoma"/>
          <w:sz w:val="22"/>
          <w:szCs w:val="22"/>
          <w:lang w:val="es-PE"/>
        </w:rPr>
      </w:pPr>
      <w:r w:rsidRPr="00EF6D22">
        <w:rPr>
          <w:rFonts w:ascii="Tahoma" w:hAnsi="Tahoma" w:cs="Tahoma"/>
          <w:sz w:val="22"/>
          <w:szCs w:val="22"/>
        </w:rPr>
        <w:t xml:space="preserve">Así, pues, habiéndose advertido la afectación del </w:t>
      </w:r>
      <w:r w:rsidRPr="00EF6D22">
        <w:rPr>
          <w:rFonts w:ascii="Tahoma" w:hAnsi="Tahoma" w:cs="Tahoma"/>
          <w:i/>
          <w:sz w:val="22"/>
          <w:szCs w:val="22"/>
        </w:rPr>
        <w:t>Principio de Presunción de Veracidad</w:t>
      </w:r>
      <w:r w:rsidRPr="00EF6D22">
        <w:rPr>
          <w:rFonts w:ascii="Tahoma" w:hAnsi="Tahoma" w:cs="Tahoma"/>
          <w:sz w:val="22"/>
          <w:szCs w:val="22"/>
        </w:rPr>
        <w:t xml:space="preserve">  y del </w:t>
      </w:r>
      <w:r w:rsidRPr="00EF6D22">
        <w:rPr>
          <w:rFonts w:ascii="Tahoma" w:hAnsi="Tahoma" w:cs="Tahoma"/>
          <w:i/>
          <w:sz w:val="22"/>
          <w:szCs w:val="22"/>
        </w:rPr>
        <w:t>Principio de Moralidad</w:t>
      </w:r>
      <w:r w:rsidRPr="00EF6D22">
        <w:rPr>
          <w:rFonts w:ascii="Tahoma" w:hAnsi="Tahoma" w:cs="Tahoma"/>
          <w:sz w:val="22"/>
          <w:szCs w:val="22"/>
        </w:rPr>
        <w:t xml:space="preserve">  por parte del Postor, se ha configurado la infracción tipificada </w:t>
      </w:r>
      <w:r w:rsidRPr="00EF6D22">
        <w:rPr>
          <w:rFonts w:ascii="Tahoma" w:hAnsi="Tahoma" w:cs="Tahoma"/>
          <w:sz w:val="22"/>
          <w:szCs w:val="22"/>
          <w:lang w:val="es-PE"/>
        </w:rPr>
        <w:t>en el literal i) del numeral 51.1 del artículo 51 de la Ley, así como el literal i) del numeral 1 del artículo 237 del Reglamento</w:t>
      </w:r>
      <w:r w:rsidRPr="00EF6D22">
        <w:rPr>
          <w:rFonts w:ascii="Tahoma" w:hAnsi="Tahoma" w:cs="Tahoma"/>
          <w:sz w:val="22"/>
          <w:szCs w:val="22"/>
        </w:rPr>
        <w:t>, existiendo mérito suficiente para imponer la correspondiente sanción administrativa.</w:t>
      </w:r>
    </w:p>
    <w:p w:rsidR="00EF6D22" w:rsidRPr="00EF6D22" w:rsidRDefault="00EF6D22" w:rsidP="00EF6D22">
      <w:pPr>
        <w:pStyle w:val="Prrafodelista"/>
        <w:ind w:left="567"/>
        <w:rPr>
          <w:rFonts w:ascii="Tahoma" w:hAnsi="Tahoma" w:cs="Tahoma"/>
          <w:sz w:val="22"/>
          <w:szCs w:val="22"/>
          <w:lang w:val="es-PE"/>
        </w:rPr>
      </w:pPr>
    </w:p>
    <w:p w:rsidR="00EF6D22" w:rsidRPr="00EF6D22" w:rsidRDefault="00EF6D22" w:rsidP="00EF6D22">
      <w:pPr>
        <w:pStyle w:val="Prrafodelista"/>
        <w:widowControl/>
        <w:numPr>
          <w:ilvl w:val="0"/>
          <w:numId w:val="8"/>
        </w:numPr>
        <w:suppressAutoHyphens w:val="0"/>
        <w:ind w:left="567" w:hanging="567"/>
        <w:contextualSpacing/>
        <w:jc w:val="both"/>
        <w:rPr>
          <w:rFonts w:ascii="Tahoma" w:hAnsi="Tahoma" w:cs="Tahoma"/>
          <w:sz w:val="22"/>
          <w:szCs w:val="22"/>
          <w:lang w:val="es-PE"/>
        </w:rPr>
      </w:pPr>
      <w:r w:rsidRPr="00EF6D22">
        <w:rPr>
          <w:rFonts w:ascii="Tahoma" w:hAnsi="Tahoma" w:cs="Tahoma"/>
          <w:sz w:val="22"/>
          <w:szCs w:val="22"/>
        </w:rPr>
        <w:t xml:space="preserve">En relación a la graduación de la sanción imponible, el numeral 51.2 del artículo 51 y 237 de la Ley y del Reglamento, respectivamente, establecen que los agentes privados de la contratación que presenten documentos falsos o inexactos serán sancionados con inhabilitación temporal para contratar con el Estado por un periodo no menor de uno (1) año ni mayor de (3) tres años, la </w:t>
      </w:r>
      <w:r w:rsidRPr="00EF6D22">
        <w:rPr>
          <w:rFonts w:ascii="Tahoma" w:hAnsi="Tahoma" w:cs="Tahoma"/>
          <w:sz w:val="22"/>
          <w:szCs w:val="22"/>
        </w:rPr>
        <w:lastRenderedPageBreak/>
        <w:t>cual deberá imponerse atendiendo a los criterios para graduar la sanción establecidos en el artículo 245 del Reglamento</w:t>
      </w:r>
      <w:r w:rsidRPr="00EF6D22">
        <w:rPr>
          <w:rStyle w:val="Refdenotaalpie"/>
          <w:rFonts w:ascii="Tahoma" w:hAnsi="Tahoma" w:cs="Tahoma"/>
          <w:sz w:val="22"/>
          <w:szCs w:val="22"/>
        </w:rPr>
        <w:footnoteReference w:id="7"/>
      </w:r>
      <w:r w:rsidRPr="00EF6D22">
        <w:rPr>
          <w:rFonts w:ascii="Tahoma" w:hAnsi="Tahoma" w:cs="Tahoma"/>
          <w:sz w:val="22"/>
          <w:szCs w:val="22"/>
        </w:rPr>
        <w:t>.</w:t>
      </w:r>
    </w:p>
    <w:p w:rsidR="00EF6D22" w:rsidRPr="00EF6D22" w:rsidRDefault="00EF6D22" w:rsidP="00EF6D22">
      <w:pPr>
        <w:pStyle w:val="Prrafodelista"/>
        <w:ind w:left="567"/>
        <w:rPr>
          <w:rFonts w:ascii="Tahoma" w:hAnsi="Tahoma" w:cs="Tahoma"/>
          <w:sz w:val="22"/>
          <w:szCs w:val="22"/>
        </w:rPr>
      </w:pPr>
    </w:p>
    <w:p w:rsidR="00EF6D22" w:rsidRPr="00EF6D22" w:rsidRDefault="00EF6D22" w:rsidP="00EF6D22">
      <w:pPr>
        <w:pStyle w:val="Prrafodelista"/>
        <w:widowControl/>
        <w:numPr>
          <w:ilvl w:val="0"/>
          <w:numId w:val="8"/>
        </w:numPr>
        <w:suppressAutoHyphens w:val="0"/>
        <w:ind w:left="567" w:hanging="567"/>
        <w:contextualSpacing/>
        <w:jc w:val="both"/>
        <w:rPr>
          <w:rFonts w:ascii="Tahoma" w:hAnsi="Tahoma" w:cs="Tahoma"/>
          <w:sz w:val="22"/>
          <w:szCs w:val="22"/>
          <w:lang w:val="es-PE"/>
        </w:rPr>
      </w:pPr>
      <w:r w:rsidRPr="00EF6D22">
        <w:rPr>
          <w:rFonts w:ascii="Tahoma" w:hAnsi="Tahoma" w:cs="Tahoma"/>
          <w:sz w:val="22"/>
          <w:szCs w:val="22"/>
        </w:rPr>
        <w:t xml:space="preserve">De esta manera, atendiendo a la naturaleza de la infracción, debe tenerse en cuenta que ésta reviste una considerable gravedad pues vulnera el </w:t>
      </w:r>
      <w:r w:rsidRPr="00EF6D22">
        <w:rPr>
          <w:rFonts w:ascii="Tahoma" w:hAnsi="Tahoma" w:cs="Tahoma"/>
          <w:i/>
          <w:sz w:val="22"/>
          <w:szCs w:val="22"/>
        </w:rPr>
        <w:t>Principio de Moralidad</w:t>
      </w:r>
      <w:r w:rsidRPr="00EF6D22">
        <w:rPr>
          <w:rFonts w:ascii="Tahoma" w:hAnsi="Tahoma" w:cs="Tahoma"/>
          <w:sz w:val="22"/>
          <w:szCs w:val="22"/>
        </w:rPr>
        <w:t xml:space="preserve"> que debe regir a todos los actos vinculados a las contrataciones públicas, conforme a lo prescrito en el literal b) del artículo 4 de la Ley.  Por lo demás, dicho principio, junto a la </w:t>
      </w:r>
      <w:r w:rsidRPr="00EF6D22">
        <w:rPr>
          <w:rFonts w:ascii="Tahoma" w:hAnsi="Tahoma" w:cs="Tahoma"/>
          <w:i/>
          <w:sz w:val="22"/>
          <w:szCs w:val="22"/>
        </w:rPr>
        <w:t>Fe Pública</w:t>
      </w:r>
      <w:r w:rsidRPr="00EF6D22">
        <w:rPr>
          <w:rFonts w:ascii="Tahoma" w:hAnsi="Tahoma" w:cs="Tahoma"/>
          <w:sz w:val="22"/>
          <w:szCs w:val="22"/>
        </w:rPr>
        <w:t>, constituyen bienes jurídicos merecedores de protección especial, pues constituyen los pilares que rigen las relaciones suscitadas entre la Administración Pública y los administrados.</w:t>
      </w:r>
    </w:p>
    <w:p w:rsidR="00EF6D22" w:rsidRPr="00EF6D22" w:rsidRDefault="00EF6D22" w:rsidP="00EF6D22">
      <w:pPr>
        <w:pStyle w:val="Prrafodelista"/>
        <w:rPr>
          <w:rFonts w:ascii="Tahoma" w:hAnsi="Tahoma" w:cs="Tahoma"/>
          <w:sz w:val="22"/>
          <w:szCs w:val="22"/>
          <w:lang w:val="es-PE"/>
        </w:rPr>
      </w:pPr>
    </w:p>
    <w:p w:rsidR="00EF6D22" w:rsidRPr="00EF6D22" w:rsidRDefault="00EF6D22" w:rsidP="00EF6D22">
      <w:pPr>
        <w:pStyle w:val="Prrafodelista"/>
        <w:widowControl/>
        <w:numPr>
          <w:ilvl w:val="0"/>
          <w:numId w:val="8"/>
        </w:numPr>
        <w:suppressAutoHyphens w:val="0"/>
        <w:ind w:left="567" w:hanging="567"/>
        <w:contextualSpacing/>
        <w:jc w:val="both"/>
        <w:rPr>
          <w:rFonts w:ascii="Tahoma" w:hAnsi="Tahoma" w:cs="Tahoma"/>
          <w:sz w:val="22"/>
          <w:szCs w:val="22"/>
          <w:lang w:val="es-PE"/>
        </w:rPr>
      </w:pPr>
      <w:r w:rsidRPr="00EF6D22">
        <w:rPr>
          <w:rFonts w:ascii="Tahoma" w:hAnsi="Tahoma" w:cs="Tahoma"/>
          <w:sz w:val="22"/>
          <w:szCs w:val="22"/>
          <w:lang w:val="es-PE"/>
        </w:rPr>
        <w:t xml:space="preserve">Respecto a la intencionalidad del infractor, </w:t>
      </w:r>
      <w:r w:rsidRPr="00EF6D22">
        <w:rPr>
          <w:rFonts w:ascii="Tahoma" w:eastAsia="Calibri" w:hAnsi="Tahoma" w:cs="Tahoma"/>
          <w:sz w:val="22"/>
          <w:szCs w:val="22"/>
          <w:lang w:eastAsia="en-US"/>
        </w:rPr>
        <w:t xml:space="preserve">debe tenerse en cuenta que los documentos materia de análisis fueron presentados con el fin de suscribir el contrato. </w:t>
      </w:r>
    </w:p>
    <w:p w:rsidR="00EF6D22" w:rsidRPr="00EF6D22" w:rsidRDefault="00EF6D22" w:rsidP="00EF6D22">
      <w:pPr>
        <w:pStyle w:val="Prrafodelista"/>
        <w:rPr>
          <w:rFonts w:ascii="Tahoma" w:hAnsi="Tahoma" w:cs="Tahoma"/>
          <w:sz w:val="22"/>
          <w:szCs w:val="22"/>
          <w:lang w:val="es-PE"/>
        </w:rPr>
      </w:pPr>
    </w:p>
    <w:p w:rsidR="00EF6D22" w:rsidRPr="00EF6D22" w:rsidRDefault="00EF6D22" w:rsidP="00EF6D22">
      <w:pPr>
        <w:pStyle w:val="Prrafodelista"/>
        <w:widowControl/>
        <w:numPr>
          <w:ilvl w:val="0"/>
          <w:numId w:val="8"/>
        </w:numPr>
        <w:suppressAutoHyphens w:val="0"/>
        <w:ind w:left="567" w:hanging="567"/>
        <w:contextualSpacing/>
        <w:jc w:val="both"/>
        <w:rPr>
          <w:rFonts w:ascii="Tahoma" w:hAnsi="Tahoma" w:cs="Tahoma"/>
          <w:sz w:val="22"/>
          <w:szCs w:val="22"/>
          <w:lang w:val="es-PE"/>
        </w:rPr>
      </w:pPr>
      <w:r w:rsidRPr="00EF6D22">
        <w:rPr>
          <w:rFonts w:ascii="Tahoma" w:hAnsi="Tahoma" w:cs="Tahoma"/>
          <w:sz w:val="22"/>
          <w:szCs w:val="22"/>
        </w:rPr>
        <w:t>Respecto al daño causado, debe tenerse presente que la conducta del infractor ha retrasado el cumplimiento de los objetivos de la Entidad, los mismos que son programados y presupuestados con anticipación.</w:t>
      </w:r>
    </w:p>
    <w:p w:rsidR="00EF6D22" w:rsidRPr="00EF6D22" w:rsidRDefault="00EF6D22" w:rsidP="00EF6D22">
      <w:pPr>
        <w:pStyle w:val="Prrafodelista"/>
        <w:rPr>
          <w:rFonts w:ascii="Tahoma" w:hAnsi="Tahoma" w:cs="Tahoma"/>
          <w:sz w:val="22"/>
          <w:szCs w:val="22"/>
          <w:lang w:val="es-PE"/>
        </w:rPr>
      </w:pPr>
    </w:p>
    <w:p w:rsidR="00EF6D22" w:rsidRPr="00EF6D22" w:rsidRDefault="00EF6D22" w:rsidP="00EF6D22">
      <w:pPr>
        <w:pStyle w:val="Prrafodelista"/>
        <w:widowControl/>
        <w:numPr>
          <w:ilvl w:val="0"/>
          <w:numId w:val="8"/>
        </w:numPr>
        <w:suppressAutoHyphens w:val="0"/>
        <w:ind w:left="567" w:hanging="567"/>
        <w:contextualSpacing/>
        <w:jc w:val="both"/>
        <w:rPr>
          <w:rFonts w:ascii="Tahoma" w:hAnsi="Tahoma" w:cs="Tahoma"/>
          <w:sz w:val="22"/>
          <w:szCs w:val="22"/>
          <w:lang w:val="es-PE"/>
        </w:rPr>
      </w:pPr>
      <w:r w:rsidRPr="00EF6D22">
        <w:rPr>
          <w:rFonts w:ascii="Tahoma" w:hAnsi="Tahoma" w:cs="Tahoma"/>
          <w:sz w:val="22"/>
          <w:szCs w:val="22"/>
        </w:rPr>
        <w:t>Asimismo, se debe señalar que el Postor no ha sido sancionado en anteriores oportunidades por este Tribunal.</w:t>
      </w:r>
    </w:p>
    <w:p w:rsidR="00EF6D22" w:rsidRPr="00EF6D22" w:rsidRDefault="00EF6D22" w:rsidP="00EF6D22">
      <w:pPr>
        <w:pStyle w:val="Prrafodelista"/>
        <w:widowControl/>
        <w:suppressAutoHyphens w:val="0"/>
        <w:ind w:left="567"/>
        <w:contextualSpacing/>
        <w:jc w:val="both"/>
        <w:rPr>
          <w:rFonts w:ascii="Tahoma" w:hAnsi="Tahoma" w:cs="Tahoma"/>
          <w:sz w:val="22"/>
          <w:szCs w:val="22"/>
        </w:rPr>
      </w:pPr>
    </w:p>
    <w:p w:rsidR="00EF6D22" w:rsidRPr="00EF6D22" w:rsidRDefault="00EF6D22" w:rsidP="00EF6D22">
      <w:pPr>
        <w:pStyle w:val="Prrafodelista"/>
        <w:widowControl/>
        <w:numPr>
          <w:ilvl w:val="0"/>
          <w:numId w:val="8"/>
        </w:numPr>
        <w:suppressAutoHyphens w:val="0"/>
        <w:ind w:left="567" w:hanging="567"/>
        <w:contextualSpacing/>
        <w:jc w:val="both"/>
        <w:rPr>
          <w:rFonts w:ascii="Tahoma" w:hAnsi="Tahoma" w:cs="Tahoma"/>
          <w:sz w:val="22"/>
          <w:szCs w:val="22"/>
          <w:lang w:val="es-PE"/>
        </w:rPr>
      </w:pPr>
      <w:r w:rsidRPr="00EF6D22">
        <w:rPr>
          <w:rFonts w:ascii="Tahoma" w:hAnsi="Tahoma" w:cs="Tahoma"/>
          <w:sz w:val="22"/>
          <w:szCs w:val="22"/>
        </w:rPr>
        <w:t xml:space="preserve">Resulta importante traer a colación, además, el </w:t>
      </w:r>
      <w:r w:rsidRPr="00EF6D22">
        <w:rPr>
          <w:rFonts w:ascii="Tahoma" w:hAnsi="Tahoma" w:cs="Tahoma"/>
          <w:i/>
          <w:sz w:val="22"/>
          <w:szCs w:val="22"/>
        </w:rPr>
        <w:t>Principio de Razonabilidad</w:t>
      </w:r>
      <w:r w:rsidRPr="00EF6D22">
        <w:rPr>
          <w:rFonts w:ascii="Tahoma" w:hAnsi="Tahoma" w:cs="Tahoma"/>
          <w:sz w:val="22"/>
          <w:szCs w:val="22"/>
        </w:rPr>
        <w:t xml:space="preserve"> consagrado en el numeral 1.4 del Artículo IV del Título Preliminar de la Ley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w:t>
      </w:r>
    </w:p>
    <w:p w:rsidR="00EF6D22" w:rsidRPr="00EF6D22" w:rsidRDefault="00EF6D22" w:rsidP="00EF6D22">
      <w:pPr>
        <w:pStyle w:val="Prrafodelista"/>
        <w:ind w:left="567"/>
        <w:rPr>
          <w:rFonts w:ascii="Tahoma" w:hAnsi="Tahoma" w:cs="Tahoma"/>
          <w:sz w:val="22"/>
          <w:szCs w:val="22"/>
          <w:lang w:val="es-PE"/>
        </w:rPr>
      </w:pPr>
    </w:p>
    <w:p w:rsidR="00EF6D22" w:rsidRPr="00EF6D22" w:rsidRDefault="00EF6D22" w:rsidP="00EF6D22">
      <w:pPr>
        <w:pStyle w:val="Prrafodelista"/>
        <w:widowControl/>
        <w:numPr>
          <w:ilvl w:val="0"/>
          <w:numId w:val="8"/>
        </w:numPr>
        <w:suppressAutoHyphens w:val="0"/>
        <w:ind w:left="567" w:hanging="567"/>
        <w:contextualSpacing/>
        <w:jc w:val="both"/>
        <w:rPr>
          <w:rFonts w:ascii="Tahoma" w:hAnsi="Tahoma" w:cs="Tahoma"/>
          <w:sz w:val="22"/>
          <w:szCs w:val="22"/>
          <w:lang w:val="es-PE"/>
        </w:rPr>
      </w:pPr>
      <w:r w:rsidRPr="00EF6D22">
        <w:rPr>
          <w:rFonts w:ascii="Tahoma" w:hAnsi="Tahoma" w:cs="Tahoma"/>
          <w:sz w:val="22"/>
          <w:szCs w:val="22"/>
        </w:rPr>
        <w:t>En el marco de tales criterios de graduación, este Colegiado considera que corresponde imponer al Postor la sanción administrativa de inhabilitación temporal en sus derechos para participar en procesos de selección y contratar con el Estado, por el periodo de doce (12) meses.</w:t>
      </w:r>
    </w:p>
    <w:p w:rsidR="00EF6D22" w:rsidRPr="00EF6D22" w:rsidRDefault="00EF6D22" w:rsidP="00EF6D22">
      <w:pPr>
        <w:jc w:val="both"/>
        <w:rPr>
          <w:rFonts w:ascii="Tahoma" w:hAnsi="Tahoma" w:cs="Tahoma"/>
          <w:sz w:val="22"/>
          <w:szCs w:val="22"/>
          <w:lang w:val="es-ES_tradnl"/>
        </w:rPr>
      </w:pPr>
    </w:p>
    <w:p w:rsidR="00EF6D22" w:rsidRPr="00EF6D22" w:rsidRDefault="00EF6D22" w:rsidP="00EF6D22">
      <w:pPr>
        <w:ind w:firstLine="567"/>
        <w:jc w:val="both"/>
        <w:rPr>
          <w:rFonts w:ascii="Tahoma" w:eastAsia="Calibri" w:hAnsi="Tahoma" w:cs="Tahoma"/>
          <w:color w:val="000000"/>
          <w:sz w:val="22"/>
          <w:szCs w:val="22"/>
        </w:rPr>
      </w:pPr>
      <w:r w:rsidRPr="00EF6D22">
        <w:rPr>
          <w:rFonts w:ascii="Tahoma" w:eastAsia="Calibri" w:hAnsi="Tahoma" w:cs="Tahoma"/>
          <w:color w:val="000000"/>
          <w:sz w:val="22"/>
          <w:szCs w:val="22"/>
        </w:rPr>
        <w:t>Por estos fundamentos, de conformidad con el informe de la Vocal Ponente Dra. Ada Rosa Basulto Liewald y la intervención de los Señores Vocales Dra. Janette Elke Ramírez Maynetto y Dr. Carlos Fernando Fonseca Oliveira; atendiendo a la conformación de la Primera Sala del Tribunal de Contrataciones del Estado según lo dispuesto en la Resolución Nº 190-2010-OSCE/PRE de fecha 29 de marzo de 2010, en ejercicio de las facultades conferidas en el artículo 63º de la Ley de Contrataciones del Estado, aprobado por Decreto Legislativo Nº 1017, y su segunda disposición complementaria transitoria, así como los artículos 17º y 18º del Reglamento de Organización y Funciones del OSCE, aprobado por Decreto Supremo Nº 006-2009-EF; analizados los antecedentes y luego de agotado el debate correspondiente, por unanimidad</w:t>
      </w:r>
    </w:p>
    <w:p w:rsidR="00EF6D22" w:rsidRPr="00EF6D22" w:rsidRDefault="00EF6D22" w:rsidP="00EF6D22">
      <w:pPr>
        <w:ind w:firstLine="426"/>
        <w:jc w:val="both"/>
        <w:rPr>
          <w:rFonts w:ascii="Tahoma" w:hAnsi="Tahoma" w:cs="Tahoma"/>
          <w:sz w:val="22"/>
          <w:szCs w:val="22"/>
        </w:rPr>
      </w:pPr>
    </w:p>
    <w:p w:rsidR="00EF6D22" w:rsidRPr="00EF6D22" w:rsidRDefault="00EF6D22" w:rsidP="00EF6D22">
      <w:pPr>
        <w:ind w:firstLine="567"/>
        <w:jc w:val="both"/>
        <w:rPr>
          <w:rFonts w:ascii="Tahoma" w:hAnsi="Tahoma" w:cs="Tahoma"/>
          <w:b/>
          <w:sz w:val="22"/>
          <w:szCs w:val="22"/>
        </w:rPr>
      </w:pPr>
      <w:r w:rsidRPr="00EF6D22">
        <w:rPr>
          <w:rFonts w:ascii="Tahoma" w:hAnsi="Tahoma" w:cs="Tahoma"/>
          <w:b/>
          <w:sz w:val="22"/>
          <w:szCs w:val="22"/>
        </w:rPr>
        <w:t xml:space="preserve">LA SALA RESUELVE: </w:t>
      </w:r>
    </w:p>
    <w:p w:rsidR="00EF6D22" w:rsidRPr="00EF6D22" w:rsidRDefault="00EF6D22" w:rsidP="00EF6D22">
      <w:pPr>
        <w:jc w:val="both"/>
        <w:rPr>
          <w:rFonts w:ascii="Tahoma" w:hAnsi="Tahoma" w:cs="Tahoma"/>
          <w:snapToGrid w:val="0"/>
          <w:sz w:val="22"/>
          <w:szCs w:val="22"/>
        </w:rPr>
      </w:pPr>
    </w:p>
    <w:p w:rsidR="00EF6D22" w:rsidRPr="00EF6D22" w:rsidRDefault="00EF6D22" w:rsidP="00EF6D22">
      <w:pPr>
        <w:numPr>
          <w:ilvl w:val="0"/>
          <w:numId w:val="9"/>
        </w:numPr>
        <w:tabs>
          <w:tab w:val="clear" w:pos="360"/>
          <w:tab w:val="num" w:pos="0"/>
        </w:tabs>
        <w:ind w:left="567" w:hanging="567"/>
        <w:jc w:val="both"/>
        <w:rPr>
          <w:rFonts w:ascii="Tahoma" w:hAnsi="Tahoma" w:cs="Tahoma"/>
          <w:sz w:val="22"/>
          <w:szCs w:val="22"/>
        </w:rPr>
      </w:pPr>
      <w:r w:rsidRPr="00EF6D22">
        <w:rPr>
          <w:rFonts w:ascii="Tahoma" w:hAnsi="Tahoma" w:cs="Tahoma"/>
          <w:sz w:val="22"/>
          <w:szCs w:val="22"/>
        </w:rPr>
        <w:t>Sancionar a la empresa ALARMAS PERUANAS S.A.</w:t>
      </w:r>
      <w:r w:rsidRPr="00EF6D22">
        <w:rPr>
          <w:rFonts w:ascii="Tahoma" w:eastAsia="Calibri" w:hAnsi="Tahoma" w:cs="Tahoma"/>
          <w:sz w:val="22"/>
          <w:szCs w:val="22"/>
          <w:lang w:eastAsia="en-US"/>
        </w:rPr>
        <w:t xml:space="preserve"> </w:t>
      </w:r>
      <w:r w:rsidRPr="00EF6D22">
        <w:rPr>
          <w:rFonts w:ascii="Tahoma" w:hAnsi="Tahoma" w:cs="Tahoma"/>
          <w:sz w:val="22"/>
          <w:szCs w:val="22"/>
        </w:rPr>
        <w:t>con doce (12) meses de inhabilitación temporal para participar en procesos de selección y contratar con el Estado, por la comisión de la infracción tipificada en el literal i) del numeral 51.1 del artículo 51 de la Ley de Contrataciones del Estado y literal i) del numeral 1) del artículo 237 del Reglamento de la Ley de Contrataciones del Estado; sanción que entrará en vigencia a partir del sexto día hábil siguiente de notificada la presente resolución.</w:t>
      </w:r>
    </w:p>
    <w:p w:rsidR="00EF6D22" w:rsidRPr="00EF6D22" w:rsidRDefault="00EF6D22" w:rsidP="00EF6D22">
      <w:pPr>
        <w:ind w:left="567"/>
        <w:jc w:val="both"/>
        <w:rPr>
          <w:rFonts w:ascii="Tahoma" w:hAnsi="Tahoma" w:cs="Tahoma"/>
          <w:sz w:val="22"/>
          <w:szCs w:val="22"/>
        </w:rPr>
      </w:pPr>
    </w:p>
    <w:p w:rsidR="00EF6D22" w:rsidRPr="00EF6D22" w:rsidRDefault="00EF6D22" w:rsidP="00EF6D22">
      <w:pPr>
        <w:numPr>
          <w:ilvl w:val="0"/>
          <w:numId w:val="9"/>
        </w:numPr>
        <w:tabs>
          <w:tab w:val="clear" w:pos="360"/>
          <w:tab w:val="num" w:pos="0"/>
        </w:tabs>
        <w:ind w:left="567" w:hanging="567"/>
        <w:jc w:val="both"/>
        <w:rPr>
          <w:rFonts w:ascii="Tahoma" w:hAnsi="Tahoma" w:cs="Tahoma"/>
          <w:sz w:val="22"/>
          <w:szCs w:val="22"/>
        </w:rPr>
      </w:pPr>
      <w:r w:rsidRPr="00EF6D22">
        <w:rPr>
          <w:rFonts w:ascii="Tahoma" w:hAnsi="Tahoma" w:cs="Tahoma"/>
          <w:sz w:val="22"/>
          <w:szCs w:val="22"/>
        </w:rPr>
        <w:t>Poner la presente resolución en conocimiento de la Subdirección del Registro del Organismo Supervisor de las Contrataciones del Estado (OSCE) para las anotaciones de ley correspondientes.</w:t>
      </w:r>
    </w:p>
    <w:p w:rsidR="00EF6D22" w:rsidRPr="00EF6D22" w:rsidRDefault="00EF6D22" w:rsidP="00EF6D22">
      <w:pPr>
        <w:pStyle w:val="Prrafodelista"/>
        <w:rPr>
          <w:rFonts w:ascii="Tahoma" w:hAnsi="Tahoma" w:cs="Tahoma"/>
          <w:sz w:val="22"/>
          <w:szCs w:val="22"/>
        </w:rPr>
      </w:pPr>
    </w:p>
    <w:p w:rsidR="00EF6D22" w:rsidRPr="00EF6D22" w:rsidRDefault="00EF6D22" w:rsidP="00EF6D22">
      <w:pPr>
        <w:numPr>
          <w:ilvl w:val="0"/>
          <w:numId w:val="9"/>
        </w:numPr>
        <w:tabs>
          <w:tab w:val="clear" w:pos="360"/>
          <w:tab w:val="num" w:pos="0"/>
        </w:tabs>
        <w:ind w:left="567" w:hanging="567"/>
        <w:jc w:val="both"/>
        <w:rPr>
          <w:rFonts w:ascii="Tahoma" w:hAnsi="Tahoma" w:cs="Tahoma"/>
          <w:sz w:val="22"/>
          <w:szCs w:val="22"/>
        </w:rPr>
      </w:pPr>
      <w:r w:rsidRPr="00EF6D22">
        <w:rPr>
          <w:rFonts w:ascii="Tahoma" w:eastAsiaTheme="minorHAnsi" w:hAnsi="Tahoma" w:cs="Tahoma"/>
          <w:color w:val="000000" w:themeColor="text1"/>
          <w:sz w:val="22"/>
          <w:szCs w:val="22"/>
          <w:lang w:eastAsia="en-US"/>
        </w:rPr>
        <w:t>Poner la presente Resolución en conocimiento de la Presidencia Ejecutiva del OSCE para que, en mérito a sus facultades y de considerarlo pertinente, formule la denuncia penal correspondiente ante el Ministerio Público, de acuerdo a los fundamentos expuestos.</w:t>
      </w:r>
    </w:p>
    <w:p w:rsidR="00EF6D22" w:rsidRPr="00EF6D22" w:rsidRDefault="00EF6D22" w:rsidP="00EF6D22">
      <w:pPr>
        <w:jc w:val="both"/>
        <w:rPr>
          <w:rFonts w:ascii="Tahoma" w:hAnsi="Tahoma" w:cs="Tahoma"/>
          <w:sz w:val="22"/>
          <w:szCs w:val="22"/>
        </w:rPr>
      </w:pPr>
    </w:p>
    <w:p w:rsidR="00EF6D22" w:rsidRPr="00EF6D22" w:rsidRDefault="00EF6D22" w:rsidP="00EF6D22">
      <w:pPr>
        <w:pStyle w:val="Textoindependiente21"/>
        <w:ind w:firstLine="567"/>
        <w:rPr>
          <w:rFonts w:cs="Tahoma"/>
          <w:szCs w:val="22"/>
        </w:rPr>
      </w:pPr>
      <w:r w:rsidRPr="00EF6D22">
        <w:rPr>
          <w:rFonts w:cs="Tahoma"/>
          <w:szCs w:val="22"/>
        </w:rPr>
        <w:t>Regístrese, comuníquese y publíquese.</w:t>
      </w:r>
    </w:p>
    <w:p w:rsidR="00EF6D22" w:rsidRPr="00EF6D22" w:rsidRDefault="00EF6D22" w:rsidP="00EF6D22">
      <w:pPr>
        <w:jc w:val="center"/>
        <w:rPr>
          <w:rFonts w:ascii="Tahoma" w:hAnsi="Tahoma" w:cs="Tahoma"/>
          <w:b/>
          <w:sz w:val="22"/>
          <w:szCs w:val="22"/>
        </w:rPr>
      </w:pPr>
    </w:p>
    <w:p w:rsidR="00EF6D22" w:rsidRPr="00EF6D22" w:rsidRDefault="00EF6D22" w:rsidP="00EF6D22">
      <w:pPr>
        <w:jc w:val="center"/>
        <w:rPr>
          <w:rFonts w:ascii="Tahoma" w:hAnsi="Tahoma" w:cs="Tahoma"/>
          <w:b/>
          <w:sz w:val="22"/>
          <w:szCs w:val="22"/>
        </w:rPr>
      </w:pPr>
    </w:p>
    <w:p w:rsidR="00EF6D22" w:rsidRPr="00EF6D22" w:rsidRDefault="00EF6D22" w:rsidP="00EF6D22">
      <w:pPr>
        <w:jc w:val="center"/>
        <w:rPr>
          <w:rFonts w:ascii="Tahoma" w:hAnsi="Tahoma" w:cs="Tahoma"/>
          <w:b/>
          <w:sz w:val="22"/>
          <w:szCs w:val="22"/>
        </w:rPr>
      </w:pPr>
    </w:p>
    <w:p w:rsidR="00EF6D22" w:rsidRPr="00EF6D22" w:rsidRDefault="00EF6D22" w:rsidP="00EF6D22">
      <w:pPr>
        <w:jc w:val="center"/>
        <w:rPr>
          <w:rFonts w:ascii="Tahoma" w:hAnsi="Tahoma" w:cs="Tahoma"/>
          <w:b/>
          <w:sz w:val="22"/>
          <w:szCs w:val="22"/>
        </w:rPr>
      </w:pPr>
    </w:p>
    <w:p w:rsidR="00EF6D22" w:rsidRPr="00EF6D22" w:rsidRDefault="00EF6D22" w:rsidP="00EF6D22">
      <w:pPr>
        <w:jc w:val="center"/>
        <w:rPr>
          <w:rFonts w:ascii="Tahoma" w:hAnsi="Tahoma" w:cs="Tahoma"/>
          <w:b/>
          <w:sz w:val="22"/>
          <w:szCs w:val="22"/>
        </w:rPr>
      </w:pPr>
    </w:p>
    <w:p w:rsidR="00EF6D22" w:rsidRPr="00EF6D22" w:rsidRDefault="00EF6D22" w:rsidP="00EF6D22">
      <w:pPr>
        <w:jc w:val="center"/>
        <w:rPr>
          <w:rFonts w:ascii="Tahoma" w:hAnsi="Tahoma" w:cs="Tahoma"/>
          <w:b/>
          <w:sz w:val="22"/>
          <w:szCs w:val="22"/>
        </w:rPr>
      </w:pPr>
    </w:p>
    <w:p w:rsidR="00EF6D22" w:rsidRPr="00EF6D22" w:rsidRDefault="00EF6D22" w:rsidP="00EF6D22">
      <w:pPr>
        <w:jc w:val="center"/>
        <w:rPr>
          <w:rFonts w:ascii="Tahoma" w:hAnsi="Tahoma" w:cs="Tahoma"/>
          <w:b/>
          <w:sz w:val="22"/>
          <w:szCs w:val="22"/>
        </w:rPr>
      </w:pPr>
    </w:p>
    <w:p w:rsidR="00EF6D22" w:rsidRPr="00EF6D22" w:rsidRDefault="00EF6D22" w:rsidP="00EF6D22">
      <w:pPr>
        <w:jc w:val="center"/>
        <w:rPr>
          <w:rFonts w:ascii="Tahoma" w:hAnsi="Tahoma" w:cs="Tahoma"/>
          <w:b/>
          <w:sz w:val="22"/>
          <w:szCs w:val="22"/>
        </w:rPr>
      </w:pPr>
    </w:p>
    <w:p w:rsidR="00EF6D22" w:rsidRPr="00EF6D22" w:rsidRDefault="00EF6D22" w:rsidP="00EF6D22">
      <w:pPr>
        <w:jc w:val="center"/>
        <w:rPr>
          <w:rFonts w:ascii="Tahoma" w:hAnsi="Tahoma" w:cs="Tahoma"/>
          <w:b/>
          <w:sz w:val="22"/>
          <w:szCs w:val="22"/>
        </w:rPr>
      </w:pPr>
    </w:p>
    <w:p w:rsidR="00EF6D22" w:rsidRPr="00EF6D22" w:rsidRDefault="00EF6D22" w:rsidP="00EF6D22">
      <w:pPr>
        <w:jc w:val="center"/>
        <w:rPr>
          <w:rFonts w:ascii="Tahoma" w:hAnsi="Tahoma" w:cs="Tahoma"/>
          <w:b/>
          <w:sz w:val="22"/>
          <w:szCs w:val="22"/>
        </w:rPr>
      </w:pPr>
    </w:p>
    <w:p w:rsidR="00EF6D22" w:rsidRPr="00EF6D22" w:rsidRDefault="00EF6D22" w:rsidP="00EF6D22">
      <w:pPr>
        <w:jc w:val="center"/>
        <w:rPr>
          <w:rFonts w:ascii="Tahoma" w:hAnsi="Tahoma" w:cs="Tahoma"/>
          <w:b/>
          <w:shadow/>
          <w:sz w:val="22"/>
          <w:szCs w:val="22"/>
          <w:lang w:val="pt-BR"/>
        </w:rPr>
      </w:pPr>
      <w:r w:rsidRPr="00EF6D22">
        <w:rPr>
          <w:rFonts w:ascii="Tahoma" w:hAnsi="Tahoma" w:cs="Tahoma"/>
          <w:b/>
          <w:shadow/>
          <w:sz w:val="22"/>
          <w:szCs w:val="22"/>
          <w:lang w:val="pt-BR"/>
        </w:rPr>
        <w:t>PRESIDENTE</w:t>
      </w:r>
    </w:p>
    <w:p w:rsidR="00EF6D22" w:rsidRPr="00EF6D22" w:rsidRDefault="00EF6D22" w:rsidP="00EF6D22">
      <w:pPr>
        <w:ind w:firstLine="708"/>
        <w:rPr>
          <w:rFonts w:ascii="Tahoma" w:hAnsi="Tahoma" w:cs="Tahoma"/>
          <w:b/>
          <w:shadow/>
          <w:sz w:val="22"/>
          <w:szCs w:val="22"/>
          <w:lang w:val="pt-BR"/>
        </w:rPr>
      </w:pPr>
    </w:p>
    <w:p w:rsidR="00EF6D22" w:rsidRPr="00EF6D22" w:rsidRDefault="00EF6D22" w:rsidP="00EF6D22">
      <w:pPr>
        <w:ind w:firstLine="708"/>
        <w:rPr>
          <w:rFonts w:ascii="Tahoma" w:hAnsi="Tahoma" w:cs="Tahoma"/>
          <w:b/>
          <w:shadow/>
          <w:sz w:val="22"/>
          <w:szCs w:val="22"/>
          <w:lang w:val="pt-BR"/>
        </w:rPr>
      </w:pPr>
      <w:r w:rsidRPr="00EF6D22">
        <w:rPr>
          <w:rFonts w:ascii="Tahoma" w:hAnsi="Tahoma" w:cs="Tahoma"/>
          <w:b/>
          <w:shadow/>
          <w:sz w:val="22"/>
          <w:szCs w:val="22"/>
          <w:lang w:val="pt-BR"/>
        </w:rPr>
        <w:lastRenderedPageBreak/>
        <w:t xml:space="preserve">VOCAL           </w:t>
      </w:r>
      <w:r w:rsidRPr="00EF6D22">
        <w:rPr>
          <w:rFonts w:ascii="Tahoma" w:hAnsi="Tahoma" w:cs="Tahoma"/>
          <w:b/>
          <w:shadow/>
          <w:sz w:val="22"/>
          <w:szCs w:val="22"/>
          <w:lang w:val="pt-BR"/>
        </w:rPr>
        <w:tab/>
      </w:r>
      <w:r w:rsidRPr="00EF6D22">
        <w:rPr>
          <w:rFonts w:ascii="Tahoma" w:hAnsi="Tahoma" w:cs="Tahoma"/>
          <w:b/>
          <w:shadow/>
          <w:sz w:val="22"/>
          <w:szCs w:val="22"/>
          <w:lang w:val="pt-BR"/>
        </w:rPr>
        <w:tab/>
        <w:t xml:space="preserve">                                                                 VOCAL</w:t>
      </w:r>
    </w:p>
    <w:p w:rsidR="00EF6D22" w:rsidRPr="00EF6D22" w:rsidRDefault="00EF6D22" w:rsidP="00EF6D22">
      <w:pPr>
        <w:rPr>
          <w:rFonts w:ascii="Tahoma" w:hAnsi="Tahoma" w:cs="Tahoma"/>
          <w:sz w:val="22"/>
          <w:szCs w:val="22"/>
          <w:lang w:val="pt-BR"/>
        </w:rPr>
      </w:pPr>
    </w:p>
    <w:p w:rsidR="00EF6D22" w:rsidRPr="00EF6D22" w:rsidRDefault="00EF6D22" w:rsidP="00EF6D22">
      <w:pPr>
        <w:rPr>
          <w:rFonts w:ascii="Tahoma" w:hAnsi="Tahoma" w:cs="Tahoma"/>
          <w:sz w:val="22"/>
          <w:szCs w:val="22"/>
          <w:lang w:val="pt-BR"/>
        </w:rPr>
      </w:pPr>
    </w:p>
    <w:p w:rsidR="00EF6D22" w:rsidRPr="00EF6D22" w:rsidRDefault="00EF6D22" w:rsidP="00EF6D22">
      <w:pPr>
        <w:jc w:val="both"/>
        <w:rPr>
          <w:rFonts w:ascii="Tahoma" w:hAnsi="Tahoma" w:cs="Tahoma"/>
          <w:sz w:val="22"/>
          <w:szCs w:val="22"/>
          <w:lang w:val="pt-BR"/>
        </w:rPr>
      </w:pPr>
      <w:r w:rsidRPr="00EF6D22">
        <w:rPr>
          <w:rFonts w:ascii="Tahoma" w:hAnsi="Tahoma" w:cs="Tahoma"/>
          <w:sz w:val="22"/>
          <w:szCs w:val="22"/>
          <w:lang w:val="pt-BR"/>
        </w:rPr>
        <w:t>ss.</w:t>
      </w:r>
    </w:p>
    <w:p w:rsidR="00EF6D22" w:rsidRPr="00EF6D22" w:rsidRDefault="00EF6D22" w:rsidP="00EF6D22">
      <w:pPr>
        <w:pStyle w:val="Textoindependiente21"/>
        <w:tabs>
          <w:tab w:val="left" w:pos="5250"/>
        </w:tabs>
        <w:rPr>
          <w:rFonts w:cs="Tahoma"/>
          <w:szCs w:val="22"/>
          <w:lang w:val="pt-BR"/>
        </w:rPr>
      </w:pPr>
      <w:r w:rsidRPr="00EF6D22">
        <w:rPr>
          <w:rFonts w:cs="Tahoma"/>
          <w:szCs w:val="22"/>
          <w:lang w:val="pt-BR"/>
        </w:rPr>
        <w:t>Basulto Liewald.</w:t>
      </w:r>
    </w:p>
    <w:p w:rsidR="00EF6D22" w:rsidRPr="00EF6D22" w:rsidRDefault="00EF6D22" w:rsidP="00EF6D22">
      <w:pPr>
        <w:pStyle w:val="Textoindependiente21"/>
        <w:tabs>
          <w:tab w:val="left" w:pos="5250"/>
        </w:tabs>
        <w:rPr>
          <w:rFonts w:cs="Tahoma"/>
          <w:szCs w:val="22"/>
          <w:lang w:val="pt-BR"/>
        </w:rPr>
      </w:pPr>
      <w:r w:rsidRPr="00EF6D22">
        <w:rPr>
          <w:rFonts w:cs="Tahoma"/>
          <w:szCs w:val="22"/>
          <w:lang w:val="en-US"/>
        </w:rPr>
        <w:t>Ramírez Maynetto.</w:t>
      </w:r>
    </w:p>
    <w:p w:rsidR="00EF6D22" w:rsidRPr="00EF6D22" w:rsidRDefault="00EF6D22" w:rsidP="00EF6D22">
      <w:pPr>
        <w:pStyle w:val="Textoindependiente21"/>
        <w:rPr>
          <w:rFonts w:cs="Tahoma"/>
          <w:szCs w:val="22"/>
        </w:rPr>
      </w:pPr>
      <w:r w:rsidRPr="00EF6D22">
        <w:rPr>
          <w:rFonts w:cs="Tahoma"/>
          <w:szCs w:val="22"/>
        </w:rPr>
        <w:t>Fonseca Oliveira.</w:t>
      </w:r>
    </w:p>
    <w:p w:rsidR="00EF6D22" w:rsidRPr="00EF6D22" w:rsidRDefault="00EF6D22" w:rsidP="00EF6D22">
      <w:pPr>
        <w:rPr>
          <w:rFonts w:ascii="Tahoma" w:hAnsi="Tahoma" w:cs="Tahoma"/>
          <w:sz w:val="22"/>
          <w:szCs w:val="22"/>
        </w:rPr>
      </w:pPr>
    </w:p>
    <w:sectPr w:rsidR="00EF6D22" w:rsidRPr="00EF6D22" w:rsidSect="0035353E">
      <w:headerReference w:type="default" r:id="rId7"/>
      <w:footerReference w:type="default" r:id="rId8"/>
      <w:pgSz w:w="11906" w:h="16838"/>
      <w:pgMar w:top="3402"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78EA" w:rsidRDefault="00B278EA" w:rsidP="00EF6D22">
      <w:r>
        <w:separator/>
      </w:r>
    </w:p>
  </w:endnote>
  <w:endnote w:type="continuationSeparator" w:id="1">
    <w:p w:rsidR="00B278EA" w:rsidRDefault="00B278EA" w:rsidP="00EF6D22">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252F72">
            <w:pPr>
              <w:pStyle w:val="Piedepgina"/>
              <w:jc w:val="center"/>
            </w:pPr>
            <w:r>
              <w:t xml:space="preserve">Página </w:t>
            </w:r>
            <w:r w:rsidR="004617F3">
              <w:rPr>
                <w:b/>
              </w:rPr>
              <w:fldChar w:fldCharType="begin"/>
            </w:r>
            <w:r>
              <w:rPr>
                <w:b/>
              </w:rPr>
              <w:instrText>PAGE</w:instrText>
            </w:r>
            <w:r w:rsidR="004617F3">
              <w:rPr>
                <w:b/>
              </w:rPr>
              <w:fldChar w:fldCharType="separate"/>
            </w:r>
            <w:r w:rsidR="00A81765">
              <w:rPr>
                <w:b/>
                <w:noProof/>
              </w:rPr>
              <w:t>1</w:t>
            </w:r>
            <w:r w:rsidR="004617F3">
              <w:rPr>
                <w:b/>
              </w:rPr>
              <w:fldChar w:fldCharType="end"/>
            </w:r>
            <w:r>
              <w:t xml:space="preserve"> de </w:t>
            </w:r>
            <w:r w:rsidR="004617F3">
              <w:rPr>
                <w:b/>
              </w:rPr>
              <w:fldChar w:fldCharType="begin"/>
            </w:r>
            <w:r>
              <w:rPr>
                <w:b/>
              </w:rPr>
              <w:instrText>NUMPAGES</w:instrText>
            </w:r>
            <w:r w:rsidR="004617F3">
              <w:rPr>
                <w:b/>
              </w:rPr>
              <w:fldChar w:fldCharType="separate"/>
            </w:r>
            <w:r w:rsidR="00A81765">
              <w:rPr>
                <w:b/>
                <w:noProof/>
              </w:rPr>
              <w:t>8</w:t>
            </w:r>
            <w:r w:rsidR="004617F3">
              <w:rPr>
                <w:b/>
              </w:rPr>
              <w:fldChar w:fldCharType="end"/>
            </w:r>
          </w:p>
        </w:sdtContent>
      </w:sdt>
    </w:sdtContent>
  </w:sdt>
  <w:p w:rsidR="0035353E" w:rsidRDefault="00B278EA">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78EA" w:rsidRDefault="00B278EA" w:rsidP="00EF6D22">
      <w:r>
        <w:separator/>
      </w:r>
    </w:p>
  </w:footnote>
  <w:footnote w:type="continuationSeparator" w:id="1">
    <w:p w:rsidR="00B278EA" w:rsidRDefault="00B278EA" w:rsidP="00EF6D22">
      <w:r>
        <w:continuationSeparator/>
      </w:r>
    </w:p>
  </w:footnote>
  <w:footnote w:id="2">
    <w:p w:rsidR="00B64716" w:rsidRPr="00E12D8A" w:rsidRDefault="00B64716" w:rsidP="00B64716">
      <w:pPr>
        <w:pStyle w:val="Textonotapie"/>
        <w:rPr>
          <w:rFonts w:ascii="Tahoma" w:hAnsi="Tahoma" w:cs="Tahoma"/>
          <w:sz w:val="16"/>
          <w:szCs w:val="16"/>
        </w:rPr>
      </w:pPr>
      <w:r w:rsidRPr="007C620C">
        <w:rPr>
          <w:rStyle w:val="Refdenotaalpie"/>
          <w:rFonts w:ascii="Tahoma" w:hAnsi="Tahoma" w:cs="Tahoma"/>
        </w:rPr>
        <w:footnoteRef/>
      </w:r>
      <w:r>
        <w:t xml:space="preserve"> </w:t>
      </w:r>
      <w:r w:rsidRPr="00F066D6">
        <w:rPr>
          <w:rFonts w:ascii="Tahoma" w:hAnsi="Tahoma" w:cs="Tahoma"/>
          <w:sz w:val="16"/>
          <w:szCs w:val="16"/>
        </w:rPr>
        <w:t xml:space="preserve">Aprobado por Decreto Legislativo Nº 1017. </w:t>
      </w:r>
    </w:p>
  </w:footnote>
  <w:footnote w:id="3">
    <w:p w:rsidR="00EF6D22" w:rsidRPr="007021C5" w:rsidRDefault="00EF6D22" w:rsidP="00EF6D22">
      <w:pPr>
        <w:pStyle w:val="Textonotapie"/>
        <w:jc w:val="both"/>
      </w:pPr>
      <w:r>
        <w:rPr>
          <w:rStyle w:val="Refdenotaalpie"/>
        </w:rPr>
        <w:footnoteRef/>
      </w:r>
      <w:r>
        <w:t xml:space="preserve"> Hoy Organismo Supervisor de las Contrataciones del Estado - OSCE</w:t>
      </w:r>
    </w:p>
  </w:footnote>
  <w:footnote w:id="4">
    <w:p w:rsidR="00EF6D22" w:rsidRPr="003E1EC1" w:rsidRDefault="00EF6D22" w:rsidP="00EF6D22">
      <w:pPr>
        <w:pStyle w:val="Textonotapie"/>
        <w:jc w:val="both"/>
      </w:pPr>
      <w:r>
        <w:rPr>
          <w:rStyle w:val="Refdenotaalpie"/>
        </w:rPr>
        <w:footnoteRef/>
      </w:r>
      <w:r>
        <w:t xml:space="preserve"> Ingresado por Mesa de Partes del Tribunal el 21 de enero de 2009.</w:t>
      </w:r>
    </w:p>
  </w:footnote>
  <w:footnote w:id="5">
    <w:p w:rsidR="00EF6D22" w:rsidRPr="00E12D8A" w:rsidRDefault="00EF6D22" w:rsidP="00EF6D22">
      <w:pPr>
        <w:pStyle w:val="Textonotapie"/>
        <w:rPr>
          <w:rFonts w:ascii="Tahoma" w:hAnsi="Tahoma" w:cs="Tahoma"/>
          <w:sz w:val="16"/>
          <w:szCs w:val="16"/>
        </w:rPr>
      </w:pPr>
      <w:r w:rsidRPr="007C620C">
        <w:rPr>
          <w:rStyle w:val="Refdenotaalpie"/>
          <w:rFonts w:ascii="Tahoma" w:hAnsi="Tahoma" w:cs="Tahoma"/>
        </w:rPr>
        <w:footnoteRef/>
      </w:r>
      <w:r>
        <w:t xml:space="preserve"> </w:t>
      </w:r>
      <w:r w:rsidRPr="00F066D6">
        <w:rPr>
          <w:rFonts w:ascii="Tahoma" w:hAnsi="Tahoma" w:cs="Tahoma"/>
          <w:sz w:val="16"/>
          <w:szCs w:val="16"/>
        </w:rPr>
        <w:t xml:space="preserve">Aprobado por Decreto Legislativo Nº 1017. </w:t>
      </w:r>
    </w:p>
  </w:footnote>
  <w:footnote w:id="6">
    <w:p w:rsidR="00EF6D22" w:rsidRPr="00E12D8A" w:rsidRDefault="00EF6D22" w:rsidP="00EF6D22">
      <w:pPr>
        <w:pStyle w:val="Textonotapie"/>
        <w:rPr>
          <w:rFonts w:ascii="Tahoma" w:hAnsi="Tahoma" w:cs="Tahoma"/>
          <w:sz w:val="16"/>
          <w:szCs w:val="16"/>
        </w:rPr>
      </w:pPr>
      <w:r w:rsidRPr="007C620C">
        <w:rPr>
          <w:rStyle w:val="Refdenotaalpie"/>
          <w:rFonts w:ascii="Tahoma" w:hAnsi="Tahoma" w:cs="Tahoma"/>
        </w:rPr>
        <w:footnoteRef/>
      </w:r>
      <w:r>
        <w:t xml:space="preserve"> </w:t>
      </w:r>
      <w:r w:rsidRPr="00F066D6">
        <w:rPr>
          <w:rFonts w:ascii="Tahoma" w:hAnsi="Tahoma" w:cs="Tahoma"/>
          <w:sz w:val="16"/>
          <w:szCs w:val="16"/>
        </w:rPr>
        <w:t>Aprobado por Decreto Supremo N° 184-2008-EF</w:t>
      </w:r>
      <w:r w:rsidRPr="00E12D8A">
        <w:rPr>
          <w:rFonts w:ascii="Tahoma" w:hAnsi="Tahoma" w:cs="Tahoma"/>
          <w:sz w:val="16"/>
          <w:szCs w:val="16"/>
        </w:rPr>
        <w:t>.</w:t>
      </w:r>
    </w:p>
  </w:footnote>
  <w:footnote w:id="7">
    <w:p w:rsidR="00EF6D22" w:rsidRPr="00FD0A7A" w:rsidRDefault="00EF6D22" w:rsidP="00EF6D22">
      <w:pPr>
        <w:autoSpaceDE w:val="0"/>
        <w:autoSpaceDN w:val="0"/>
        <w:adjustRightInd w:val="0"/>
        <w:jc w:val="both"/>
        <w:rPr>
          <w:rFonts w:ascii="Tahoma" w:hAnsi="Tahoma" w:cs="Tahoma"/>
          <w:b/>
          <w:bCs/>
          <w:sz w:val="16"/>
          <w:szCs w:val="16"/>
        </w:rPr>
      </w:pPr>
      <w:r w:rsidRPr="00FD0A7A">
        <w:rPr>
          <w:rStyle w:val="Refdenotaalpie"/>
          <w:rFonts w:ascii="Tahoma" w:hAnsi="Tahoma" w:cs="Tahoma"/>
        </w:rPr>
        <w:footnoteRef/>
      </w:r>
      <w:r w:rsidRPr="00403BF9">
        <w:rPr>
          <w:rFonts w:ascii="Tahoma" w:hAnsi="Tahoma" w:cs="Tahoma"/>
          <w:sz w:val="16"/>
          <w:szCs w:val="16"/>
        </w:rPr>
        <w:t xml:space="preserve"> </w:t>
      </w:r>
      <w:r w:rsidRPr="00FD0A7A">
        <w:rPr>
          <w:rFonts w:ascii="Tahoma" w:hAnsi="Tahoma" w:cs="Tahoma"/>
          <w:b/>
          <w:bCs/>
          <w:sz w:val="16"/>
          <w:szCs w:val="16"/>
        </w:rPr>
        <w:t xml:space="preserve">Artículo </w:t>
      </w:r>
      <w:r>
        <w:rPr>
          <w:rFonts w:ascii="Tahoma" w:hAnsi="Tahoma" w:cs="Tahoma"/>
          <w:b/>
          <w:bCs/>
          <w:sz w:val="16"/>
          <w:szCs w:val="16"/>
        </w:rPr>
        <w:t>245.- Determinación gradual de la s</w:t>
      </w:r>
      <w:r w:rsidRPr="00FD0A7A">
        <w:rPr>
          <w:rFonts w:ascii="Tahoma" w:hAnsi="Tahoma" w:cs="Tahoma"/>
          <w:b/>
          <w:bCs/>
          <w:sz w:val="16"/>
          <w:szCs w:val="16"/>
        </w:rPr>
        <w:t>anción</w:t>
      </w:r>
    </w:p>
    <w:p w:rsidR="00EF6D22" w:rsidRPr="00FD0A7A" w:rsidRDefault="00EF6D22" w:rsidP="00EF6D22">
      <w:pPr>
        <w:autoSpaceDE w:val="0"/>
        <w:autoSpaceDN w:val="0"/>
        <w:adjustRightInd w:val="0"/>
        <w:ind w:left="142"/>
        <w:jc w:val="both"/>
        <w:rPr>
          <w:rFonts w:ascii="Tahoma" w:hAnsi="Tahoma" w:cs="Tahoma"/>
          <w:sz w:val="16"/>
          <w:szCs w:val="16"/>
        </w:rPr>
      </w:pPr>
      <w:r w:rsidRPr="00FD0A7A">
        <w:rPr>
          <w:rFonts w:ascii="Tahoma" w:hAnsi="Tahoma" w:cs="Tahoma"/>
          <w:sz w:val="16"/>
          <w:szCs w:val="16"/>
        </w:rPr>
        <w:t xml:space="preserve">Para graduar la sanción </w:t>
      </w:r>
      <w:r>
        <w:rPr>
          <w:rFonts w:ascii="Tahoma" w:hAnsi="Tahoma" w:cs="Tahoma"/>
          <w:sz w:val="16"/>
          <w:szCs w:val="16"/>
        </w:rPr>
        <w:t xml:space="preserve">de inhabilitación temporal a imponerse, </w:t>
      </w:r>
      <w:r w:rsidRPr="00FD0A7A">
        <w:rPr>
          <w:rFonts w:ascii="Tahoma" w:hAnsi="Tahoma" w:cs="Tahoma"/>
          <w:sz w:val="16"/>
          <w:szCs w:val="16"/>
        </w:rPr>
        <w:t xml:space="preserve">conforme a las disposiciones del presente Título, </w:t>
      </w:r>
      <w:r>
        <w:rPr>
          <w:rFonts w:ascii="Tahoma" w:hAnsi="Tahoma" w:cs="Tahoma"/>
          <w:sz w:val="16"/>
          <w:szCs w:val="16"/>
        </w:rPr>
        <w:t xml:space="preserve">el Tribunal </w:t>
      </w:r>
      <w:r w:rsidRPr="00FD0A7A">
        <w:rPr>
          <w:rFonts w:ascii="Tahoma" w:hAnsi="Tahoma" w:cs="Tahoma"/>
          <w:sz w:val="16"/>
          <w:szCs w:val="16"/>
        </w:rPr>
        <w:t>considerará los siguientes criterios:</w:t>
      </w:r>
    </w:p>
    <w:p w:rsidR="00EF6D22" w:rsidRPr="00FD0A7A" w:rsidRDefault="00EF6D22" w:rsidP="00EF6D22">
      <w:pPr>
        <w:autoSpaceDE w:val="0"/>
        <w:autoSpaceDN w:val="0"/>
        <w:adjustRightInd w:val="0"/>
        <w:ind w:left="142"/>
        <w:jc w:val="both"/>
        <w:rPr>
          <w:rFonts w:ascii="Tahoma" w:hAnsi="Tahoma" w:cs="Tahoma"/>
          <w:sz w:val="16"/>
          <w:szCs w:val="16"/>
        </w:rPr>
      </w:pPr>
      <w:r w:rsidRPr="00FD0A7A">
        <w:rPr>
          <w:rFonts w:ascii="Tahoma" w:hAnsi="Tahoma" w:cs="Tahoma"/>
          <w:sz w:val="16"/>
          <w:szCs w:val="16"/>
        </w:rPr>
        <w:t>1) Naturaleza de la infracción.</w:t>
      </w:r>
    </w:p>
    <w:p w:rsidR="00EF6D22" w:rsidRPr="00FD0A7A" w:rsidRDefault="00EF6D22" w:rsidP="00EF6D22">
      <w:pPr>
        <w:autoSpaceDE w:val="0"/>
        <w:autoSpaceDN w:val="0"/>
        <w:adjustRightInd w:val="0"/>
        <w:ind w:left="142"/>
        <w:jc w:val="both"/>
        <w:rPr>
          <w:rFonts w:ascii="Tahoma" w:hAnsi="Tahoma" w:cs="Tahoma"/>
          <w:sz w:val="16"/>
          <w:szCs w:val="16"/>
        </w:rPr>
      </w:pPr>
      <w:r w:rsidRPr="00FD0A7A">
        <w:rPr>
          <w:rFonts w:ascii="Tahoma" w:hAnsi="Tahoma" w:cs="Tahoma"/>
          <w:sz w:val="16"/>
          <w:szCs w:val="16"/>
        </w:rPr>
        <w:t>2) Intencionalidad del infractor.</w:t>
      </w:r>
    </w:p>
    <w:p w:rsidR="00EF6D22" w:rsidRPr="00FD0A7A" w:rsidRDefault="00EF6D22" w:rsidP="00EF6D22">
      <w:pPr>
        <w:autoSpaceDE w:val="0"/>
        <w:autoSpaceDN w:val="0"/>
        <w:adjustRightInd w:val="0"/>
        <w:ind w:left="142"/>
        <w:jc w:val="both"/>
        <w:rPr>
          <w:rFonts w:ascii="Tahoma" w:hAnsi="Tahoma" w:cs="Tahoma"/>
          <w:sz w:val="16"/>
          <w:szCs w:val="16"/>
        </w:rPr>
      </w:pPr>
      <w:r w:rsidRPr="00FD0A7A">
        <w:rPr>
          <w:rFonts w:ascii="Tahoma" w:hAnsi="Tahoma" w:cs="Tahoma"/>
          <w:sz w:val="16"/>
          <w:szCs w:val="16"/>
        </w:rPr>
        <w:t>3) Daño causado.</w:t>
      </w:r>
    </w:p>
    <w:p w:rsidR="00EF6D22" w:rsidRPr="00FD0A7A" w:rsidRDefault="00EF6D22" w:rsidP="00EF6D22">
      <w:pPr>
        <w:autoSpaceDE w:val="0"/>
        <w:autoSpaceDN w:val="0"/>
        <w:adjustRightInd w:val="0"/>
        <w:ind w:left="142"/>
        <w:jc w:val="both"/>
        <w:rPr>
          <w:rFonts w:ascii="Tahoma" w:hAnsi="Tahoma" w:cs="Tahoma"/>
          <w:sz w:val="16"/>
          <w:szCs w:val="16"/>
        </w:rPr>
      </w:pPr>
      <w:r w:rsidRPr="00FD0A7A">
        <w:rPr>
          <w:rFonts w:ascii="Tahoma" w:hAnsi="Tahoma" w:cs="Tahoma"/>
          <w:sz w:val="16"/>
          <w:szCs w:val="16"/>
        </w:rPr>
        <w:t>4) Reiterancia.</w:t>
      </w:r>
    </w:p>
    <w:p w:rsidR="00EF6D22" w:rsidRPr="00FD0A7A" w:rsidRDefault="00EF6D22" w:rsidP="00EF6D22">
      <w:pPr>
        <w:autoSpaceDE w:val="0"/>
        <w:autoSpaceDN w:val="0"/>
        <w:adjustRightInd w:val="0"/>
        <w:ind w:left="142"/>
        <w:jc w:val="both"/>
        <w:rPr>
          <w:rFonts w:ascii="Tahoma" w:hAnsi="Tahoma" w:cs="Tahoma"/>
          <w:sz w:val="16"/>
          <w:szCs w:val="16"/>
        </w:rPr>
      </w:pPr>
      <w:r w:rsidRPr="00FD0A7A">
        <w:rPr>
          <w:rFonts w:ascii="Tahoma" w:hAnsi="Tahoma" w:cs="Tahoma"/>
          <w:sz w:val="16"/>
          <w:szCs w:val="16"/>
        </w:rPr>
        <w:t>5) El reconocimiento de la infracción cometida antes de que sea detectada.</w:t>
      </w:r>
    </w:p>
    <w:p w:rsidR="00EF6D22" w:rsidRPr="00FD0A7A" w:rsidRDefault="00EF6D22" w:rsidP="00EF6D22">
      <w:pPr>
        <w:autoSpaceDE w:val="0"/>
        <w:autoSpaceDN w:val="0"/>
        <w:adjustRightInd w:val="0"/>
        <w:ind w:left="142"/>
        <w:jc w:val="both"/>
        <w:rPr>
          <w:rFonts w:ascii="Tahoma" w:hAnsi="Tahoma" w:cs="Tahoma"/>
          <w:sz w:val="16"/>
          <w:szCs w:val="16"/>
        </w:rPr>
      </w:pPr>
      <w:r w:rsidRPr="00FD0A7A">
        <w:rPr>
          <w:rFonts w:ascii="Tahoma" w:hAnsi="Tahoma" w:cs="Tahoma"/>
          <w:sz w:val="16"/>
          <w:szCs w:val="16"/>
        </w:rPr>
        <w:t>6) Circunstancias de tiempo, lugar y modo.</w:t>
      </w:r>
    </w:p>
    <w:p w:rsidR="00EF6D22" w:rsidRPr="00FD0A7A" w:rsidRDefault="00EF6D22" w:rsidP="00EF6D22">
      <w:pPr>
        <w:autoSpaceDE w:val="0"/>
        <w:autoSpaceDN w:val="0"/>
        <w:adjustRightInd w:val="0"/>
        <w:ind w:left="142"/>
        <w:jc w:val="both"/>
        <w:rPr>
          <w:rFonts w:ascii="Tahoma" w:hAnsi="Tahoma" w:cs="Tahoma"/>
          <w:sz w:val="16"/>
          <w:szCs w:val="16"/>
        </w:rPr>
      </w:pPr>
      <w:r w:rsidRPr="00FD0A7A">
        <w:rPr>
          <w:rFonts w:ascii="Tahoma" w:hAnsi="Tahoma" w:cs="Tahoma"/>
          <w:sz w:val="16"/>
          <w:szCs w:val="16"/>
        </w:rPr>
        <w:t>7) Condiciones del infractor.</w:t>
      </w:r>
    </w:p>
    <w:p w:rsidR="00EF6D22" w:rsidRPr="000D1223" w:rsidRDefault="00EF6D22" w:rsidP="00EF6D22">
      <w:pPr>
        <w:autoSpaceDE w:val="0"/>
        <w:autoSpaceDN w:val="0"/>
        <w:adjustRightInd w:val="0"/>
        <w:ind w:left="142"/>
        <w:jc w:val="both"/>
      </w:pPr>
      <w:r w:rsidRPr="00FD0A7A">
        <w:rPr>
          <w:rFonts w:ascii="Tahoma" w:hAnsi="Tahoma" w:cs="Tahoma"/>
          <w:sz w:val="16"/>
          <w:szCs w:val="16"/>
        </w:rPr>
        <w:t>8) Conducta procesal del infractor.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765" w:rsidRDefault="00A81765" w:rsidP="00A81765">
    <w:pPr>
      <w:pStyle w:val="Encabezado"/>
      <w:jc w:val="center"/>
      <w:rPr>
        <w:rFonts w:ascii="Monotype Corsiva" w:hAnsi="Monotype Corsiva"/>
        <w:b/>
        <w:sz w:val="44"/>
        <w:szCs w:val="44"/>
      </w:rPr>
    </w:pPr>
    <w:r>
      <w:rPr>
        <w:noProof/>
      </w:rPr>
      <w:drawing>
        <wp:anchor distT="0" distB="0" distL="114300" distR="114300" simplePos="0" relativeHeight="251658240" behindDoc="0" locked="0" layoutInCell="1" allowOverlap="1">
          <wp:simplePos x="0" y="0"/>
          <wp:positionH relativeFrom="column">
            <wp:posOffset>-593725</wp:posOffset>
          </wp:positionH>
          <wp:positionV relativeFrom="paragraph">
            <wp:posOffset>-59690</wp:posOffset>
          </wp:positionV>
          <wp:extent cx="6515100" cy="58102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5100" cy="581025"/>
                  </a:xfrm>
                  <a:prstGeom prst="rect">
                    <a:avLst/>
                  </a:prstGeom>
                  <a:noFill/>
                </pic:spPr>
              </pic:pic>
            </a:graphicData>
          </a:graphic>
        </wp:anchor>
      </w:drawing>
    </w:r>
  </w:p>
  <w:p w:rsidR="00A81765" w:rsidRDefault="00A81765" w:rsidP="00A81765">
    <w:pPr>
      <w:pStyle w:val="Encabezado"/>
      <w:jc w:val="center"/>
      <w:rPr>
        <w:rFonts w:ascii="Monotype Corsiva" w:hAnsi="Monotype Corsiva"/>
        <w:b/>
        <w:sz w:val="44"/>
        <w:szCs w:val="44"/>
      </w:rPr>
    </w:pPr>
  </w:p>
  <w:p w:rsidR="00A81765" w:rsidRDefault="00A81765" w:rsidP="00A81765">
    <w:pPr>
      <w:pStyle w:val="Encabezado"/>
      <w:jc w:val="center"/>
      <w:rPr>
        <w:rFonts w:ascii="Monotype Corsiva" w:hAnsi="Monotype Corsiva"/>
        <w:b/>
        <w:sz w:val="44"/>
        <w:szCs w:val="44"/>
      </w:rPr>
    </w:pPr>
  </w:p>
  <w:p w:rsidR="00A81765" w:rsidRDefault="00A81765" w:rsidP="00A81765">
    <w:pPr>
      <w:pStyle w:val="Encabezado"/>
      <w:jc w:val="center"/>
      <w:rPr>
        <w:rFonts w:ascii="Tahoma" w:hAnsi="Tahoma" w:cs="Tahoma"/>
        <w:b/>
        <w:sz w:val="44"/>
        <w:szCs w:val="44"/>
      </w:rPr>
    </w:pPr>
    <w:r>
      <w:rPr>
        <w:rFonts w:ascii="Monotype Corsiva" w:hAnsi="Monotype Corsiva"/>
        <w:b/>
        <w:sz w:val="44"/>
        <w:szCs w:val="44"/>
      </w:rPr>
      <w:t xml:space="preserve">Resolución Nº   </w:t>
    </w:r>
    <w:r>
      <w:rPr>
        <w:rFonts w:ascii="Tahoma" w:hAnsi="Tahoma" w:cs="Tahoma"/>
        <w:b/>
        <w:sz w:val="44"/>
        <w:szCs w:val="44"/>
      </w:rPr>
      <w:t>076-2011-TC-S1</w:t>
    </w:r>
  </w:p>
  <w:p w:rsidR="00A81765" w:rsidRDefault="00A81765">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44061DA8"/>
    <w:lvl w:ilvl="0" w:tplc="3538252C">
      <w:start w:val="1"/>
      <w:numFmt w:val="decimal"/>
      <w:lvlText w:val="%1."/>
      <w:lvlJc w:val="left"/>
      <w:pPr>
        <w:tabs>
          <w:tab w:val="num" w:pos="1068"/>
        </w:tabs>
        <w:ind w:left="1068" w:hanging="360"/>
      </w:pPr>
      <w:rPr>
        <w:rFonts w:ascii="Tahoma" w:hAnsi="Tahoma" w:cs="Tahoma" w:hint="default"/>
        <w:b/>
        <w:i w:val="0"/>
        <w:sz w:val="22"/>
        <w:szCs w:val="22"/>
      </w:rPr>
    </w:lvl>
    <w:lvl w:ilvl="1" w:tplc="33EE8310">
      <w:start w:val="3"/>
      <w:numFmt w:val="bullet"/>
      <w:lvlText w:val=""/>
      <w:lvlJc w:val="left"/>
      <w:pPr>
        <w:tabs>
          <w:tab w:val="num" w:pos="1788"/>
        </w:tabs>
        <w:ind w:left="1788" w:hanging="360"/>
      </w:pPr>
      <w:rPr>
        <w:rFonts w:ascii="Symbol" w:eastAsia="Times New Roman" w:hAnsi="Symbol" w:hint="default"/>
      </w:rPr>
    </w:lvl>
    <w:lvl w:ilvl="2" w:tplc="0C0A001B">
      <w:start w:val="1"/>
      <w:numFmt w:val="decimal"/>
      <w:lvlText w:val="%3."/>
      <w:lvlJc w:val="left"/>
      <w:pPr>
        <w:tabs>
          <w:tab w:val="num" w:pos="2160"/>
        </w:tabs>
        <w:ind w:left="2160" w:hanging="36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decimal"/>
      <w:lvlText w:val="%5."/>
      <w:lvlJc w:val="left"/>
      <w:pPr>
        <w:tabs>
          <w:tab w:val="num" w:pos="3600"/>
        </w:tabs>
        <w:ind w:left="3600" w:hanging="360"/>
      </w:pPr>
      <w:rPr>
        <w:rFonts w:cs="Times New Roman"/>
      </w:rPr>
    </w:lvl>
    <w:lvl w:ilvl="5" w:tplc="0C0A001B">
      <w:start w:val="1"/>
      <w:numFmt w:val="decimal"/>
      <w:lvlText w:val="%6."/>
      <w:lvlJc w:val="left"/>
      <w:pPr>
        <w:tabs>
          <w:tab w:val="num" w:pos="4320"/>
        </w:tabs>
        <w:ind w:left="4320" w:hanging="36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decimal"/>
      <w:lvlText w:val="%8."/>
      <w:lvlJc w:val="left"/>
      <w:pPr>
        <w:tabs>
          <w:tab w:val="num" w:pos="5760"/>
        </w:tabs>
        <w:ind w:left="5760" w:hanging="360"/>
      </w:pPr>
      <w:rPr>
        <w:rFonts w:cs="Times New Roman"/>
      </w:rPr>
    </w:lvl>
    <w:lvl w:ilvl="8" w:tplc="0C0A001B">
      <w:start w:val="1"/>
      <w:numFmt w:val="decimal"/>
      <w:lvlText w:val="%9."/>
      <w:lvlJc w:val="left"/>
      <w:pPr>
        <w:tabs>
          <w:tab w:val="num" w:pos="6480"/>
        </w:tabs>
        <w:ind w:left="6480" w:hanging="360"/>
      </w:pPr>
      <w:rPr>
        <w:rFonts w:cs="Times New Roman"/>
      </w:rPr>
    </w:lvl>
  </w:abstractNum>
  <w:abstractNum w:abstractNumId="1">
    <w:nsid w:val="0916453D"/>
    <w:multiLevelType w:val="hybridMultilevel"/>
    <w:tmpl w:val="3FAE685E"/>
    <w:lvl w:ilvl="0" w:tplc="41DAA394">
      <w:start w:val="1"/>
      <w:numFmt w:val="decimal"/>
      <w:lvlText w:val="%1."/>
      <w:lvlJc w:val="left"/>
      <w:pPr>
        <w:ind w:left="1120" w:hanging="360"/>
      </w:pPr>
      <w:rPr>
        <w:rFonts w:cs="Times New Roman"/>
        <w:b/>
        <w:sz w:val="20"/>
        <w:szCs w:val="20"/>
      </w:rPr>
    </w:lvl>
    <w:lvl w:ilvl="1" w:tplc="0C0A0019" w:tentative="1">
      <w:start w:val="1"/>
      <w:numFmt w:val="lowerLetter"/>
      <w:lvlText w:val="%2."/>
      <w:lvlJc w:val="left"/>
      <w:pPr>
        <w:ind w:left="1840" w:hanging="360"/>
      </w:pPr>
      <w:rPr>
        <w:rFonts w:cs="Times New Roman"/>
      </w:rPr>
    </w:lvl>
    <w:lvl w:ilvl="2" w:tplc="0C0A001B" w:tentative="1">
      <w:start w:val="1"/>
      <w:numFmt w:val="lowerRoman"/>
      <w:lvlText w:val="%3."/>
      <w:lvlJc w:val="right"/>
      <w:pPr>
        <w:ind w:left="2560" w:hanging="180"/>
      </w:pPr>
      <w:rPr>
        <w:rFonts w:cs="Times New Roman"/>
      </w:rPr>
    </w:lvl>
    <w:lvl w:ilvl="3" w:tplc="0C0A000F" w:tentative="1">
      <w:start w:val="1"/>
      <w:numFmt w:val="decimal"/>
      <w:lvlText w:val="%4."/>
      <w:lvlJc w:val="left"/>
      <w:pPr>
        <w:ind w:left="3280" w:hanging="360"/>
      </w:pPr>
      <w:rPr>
        <w:rFonts w:cs="Times New Roman"/>
      </w:rPr>
    </w:lvl>
    <w:lvl w:ilvl="4" w:tplc="0C0A0019" w:tentative="1">
      <w:start w:val="1"/>
      <w:numFmt w:val="lowerLetter"/>
      <w:lvlText w:val="%5."/>
      <w:lvlJc w:val="left"/>
      <w:pPr>
        <w:ind w:left="4000" w:hanging="360"/>
      </w:pPr>
      <w:rPr>
        <w:rFonts w:cs="Times New Roman"/>
      </w:rPr>
    </w:lvl>
    <w:lvl w:ilvl="5" w:tplc="0C0A001B" w:tentative="1">
      <w:start w:val="1"/>
      <w:numFmt w:val="lowerRoman"/>
      <w:lvlText w:val="%6."/>
      <w:lvlJc w:val="right"/>
      <w:pPr>
        <w:ind w:left="4720" w:hanging="180"/>
      </w:pPr>
      <w:rPr>
        <w:rFonts w:cs="Times New Roman"/>
      </w:rPr>
    </w:lvl>
    <w:lvl w:ilvl="6" w:tplc="0C0A000F" w:tentative="1">
      <w:start w:val="1"/>
      <w:numFmt w:val="decimal"/>
      <w:lvlText w:val="%7."/>
      <w:lvlJc w:val="left"/>
      <w:pPr>
        <w:ind w:left="5440" w:hanging="360"/>
      </w:pPr>
      <w:rPr>
        <w:rFonts w:cs="Times New Roman"/>
      </w:rPr>
    </w:lvl>
    <w:lvl w:ilvl="7" w:tplc="0C0A0019" w:tentative="1">
      <w:start w:val="1"/>
      <w:numFmt w:val="lowerLetter"/>
      <w:lvlText w:val="%8."/>
      <w:lvlJc w:val="left"/>
      <w:pPr>
        <w:ind w:left="6160" w:hanging="360"/>
      </w:pPr>
      <w:rPr>
        <w:rFonts w:cs="Times New Roman"/>
      </w:rPr>
    </w:lvl>
    <w:lvl w:ilvl="8" w:tplc="0C0A001B" w:tentative="1">
      <w:start w:val="1"/>
      <w:numFmt w:val="lowerRoman"/>
      <w:lvlText w:val="%9."/>
      <w:lvlJc w:val="right"/>
      <w:pPr>
        <w:ind w:left="6880" w:hanging="180"/>
      </w:pPr>
      <w:rPr>
        <w:rFonts w:cs="Times New Roman"/>
      </w:rPr>
    </w:lvl>
  </w:abstractNum>
  <w:abstractNum w:abstractNumId="2">
    <w:nsid w:val="1A654C9E"/>
    <w:multiLevelType w:val="hybridMultilevel"/>
    <w:tmpl w:val="83FE3EE4"/>
    <w:lvl w:ilvl="0" w:tplc="FCC0F134">
      <w:start w:val="1"/>
      <w:numFmt w:val="decimal"/>
      <w:lvlText w:val="%1."/>
      <w:lvlJc w:val="left"/>
      <w:pPr>
        <w:tabs>
          <w:tab w:val="num" w:pos="360"/>
        </w:tabs>
        <w:ind w:left="360" w:hanging="360"/>
      </w:pPr>
      <w:rPr>
        <w:rFonts w:ascii="Tahoma" w:hAnsi="Tahoma" w:hint="default"/>
        <w:b/>
        <w:i w:val="0"/>
        <w:sz w:val="22"/>
        <w:szCs w:val="22"/>
      </w:rPr>
    </w:lvl>
    <w:lvl w:ilvl="1" w:tplc="0C0A0019" w:tentative="1">
      <w:start w:val="1"/>
      <w:numFmt w:val="lowerLetter"/>
      <w:lvlText w:val="%2."/>
      <w:lvlJc w:val="left"/>
      <w:pPr>
        <w:tabs>
          <w:tab w:val="num" w:pos="360"/>
        </w:tabs>
        <w:ind w:left="360" w:hanging="360"/>
      </w:pPr>
    </w:lvl>
    <w:lvl w:ilvl="2" w:tplc="0C0A001B" w:tentative="1">
      <w:start w:val="1"/>
      <w:numFmt w:val="lowerRoman"/>
      <w:lvlText w:val="%3."/>
      <w:lvlJc w:val="right"/>
      <w:pPr>
        <w:tabs>
          <w:tab w:val="num" w:pos="1080"/>
        </w:tabs>
        <w:ind w:left="1080" w:hanging="180"/>
      </w:pPr>
    </w:lvl>
    <w:lvl w:ilvl="3" w:tplc="0C0A000F" w:tentative="1">
      <w:start w:val="1"/>
      <w:numFmt w:val="decimal"/>
      <w:lvlText w:val="%4."/>
      <w:lvlJc w:val="left"/>
      <w:pPr>
        <w:tabs>
          <w:tab w:val="num" w:pos="1800"/>
        </w:tabs>
        <w:ind w:left="1800" w:hanging="360"/>
      </w:pPr>
    </w:lvl>
    <w:lvl w:ilvl="4" w:tplc="0C0A0019" w:tentative="1">
      <w:start w:val="1"/>
      <w:numFmt w:val="lowerLetter"/>
      <w:lvlText w:val="%5."/>
      <w:lvlJc w:val="left"/>
      <w:pPr>
        <w:tabs>
          <w:tab w:val="num" w:pos="2520"/>
        </w:tabs>
        <w:ind w:left="2520" w:hanging="360"/>
      </w:pPr>
    </w:lvl>
    <w:lvl w:ilvl="5" w:tplc="0C0A001B" w:tentative="1">
      <w:start w:val="1"/>
      <w:numFmt w:val="lowerRoman"/>
      <w:lvlText w:val="%6."/>
      <w:lvlJc w:val="right"/>
      <w:pPr>
        <w:tabs>
          <w:tab w:val="num" w:pos="3240"/>
        </w:tabs>
        <w:ind w:left="3240" w:hanging="180"/>
      </w:pPr>
    </w:lvl>
    <w:lvl w:ilvl="6" w:tplc="0C0A000F" w:tentative="1">
      <w:start w:val="1"/>
      <w:numFmt w:val="decimal"/>
      <w:lvlText w:val="%7."/>
      <w:lvlJc w:val="left"/>
      <w:pPr>
        <w:tabs>
          <w:tab w:val="num" w:pos="3960"/>
        </w:tabs>
        <w:ind w:left="3960" w:hanging="360"/>
      </w:pPr>
    </w:lvl>
    <w:lvl w:ilvl="7" w:tplc="0C0A0019" w:tentative="1">
      <w:start w:val="1"/>
      <w:numFmt w:val="lowerLetter"/>
      <w:lvlText w:val="%8."/>
      <w:lvlJc w:val="left"/>
      <w:pPr>
        <w:tabs>
          <w:tab w:val="num" w:pos="4680"/>
        </w:tabs>
        <w:ind w:left="4680" w:hanging="360"/>
      </w:pPr>
    </w:lvl>
    <w:lvl w:ilvl="8" w:tplc="0C0A001B" w:tentative="1">
      <w:start w:val="1"/>
      <w:numFmt w:val="lowerRoman"/>
      <w:lvlText w:val="%9."/>
      <w:lvlJc w:val="right"/>
      <w:pPr>
        <w:tabs>
          <w:tab w:val="num" w:pos="5400"/>
        </w:tabs>
        <w:ind w:left="5400" w:hanging="180"/>
      </w:pPr>
    </w:lvl>
  </w:abstractNum>
  <w:abstractNum w:abstractNumId="3">
    <w:nsid w:val="2D2F2A1C"/>
    <w:multiLevelType w:val="hybridMultilevel"/>
    <w:tmpl w:val="6FD4BBC8"/>
    <w:lvl w:ilvl="0" w:tplc="0C0A0017">
      <w:start w:val="1"/>
      <w:numFmt w:val="lowerLetter"/>
      <w:lvlText w:val="%1)"/>
      <w:lvlJc w:val="left"/>
      <w:pPr>
        <w:ind w:left="1080" w:hanging="360"/>
      </w:pPr>
      <w:rPr>
        <w:rFonts w:cs="Times New Roman"/>
      </w:rPr>
    </w:lvl>
    <w:lvl w:ilvl="1" w:tplc="0C0A0019" w:tentative="1">
      <w:start w:val="1"/>
      <w:numFmt w:val="lowerLetter"/>
      <w:lvlText w:val="%2."/>
      <w:lvlJc w:val="left"/>
      <w:pPr>
        <w:ind w:left="1800" w:hanging="360"/>
      </w:pPr>
      <w:rPr>
        <w:rFonts w:cs="Times New Roman"/>
      </w:rPr>
    </w:lvl>
    <w:lvl w:ilvl="2" w:tplc="0C0A001B" w:tentative="1">
      <w:start w:val="1"/>
      <w:numFmt w:val="lowerRoman"/>
      <w:lvlText w:val="%3."/>
      <w:lvlJc w:val="right"/>
      <w:pPr>
        <w:ind w:left="2520" w:hanging="180"/>
      </w:pPr>
      <w:rPr>
        <w:rFonts w:cs="Times New Roman"/>
      </w:rPr>
    </w:lvl>
    <w:lvl w:ilvl="3" w:tplc="0C0A000F" w:tentative="1">
      <w:start w:val="1"/>
      <w:numFmt w:val="decimal"/>
      <w:lvlText w:val="%4."/>
      <w:lvlJc w:val="left"/>
      <w:pPr>
        <w:ind w:left="3240" w:hanging="360"/>
      </w:pPr>
      <w:rPr>
        <w:rFonts w:cs="Times New Roman"/>
      </w:rPr>
    </w:lvl>
    <w:lvl w:ilvl="4" w:tplc="0C0A0019" w:tentative="1">
      <w:start w:val="1"/>
      <w:numFmt w:val="lowerLetter"/>
      <w:lvlText w:val="%5."/>
      <w:lvlJc w:val="left"/>
      <w:pPr>
        <w:ind w:left="3960" w:hanging="360"/>
      </w:pPr>
      <w:rPr>
        <w:rFonts w:cs="Times New Roman"/>
      </w:rPr>
    </w:lvl>
    <w:lvl w:ilvl="5" w:tplc="0C0A001B" w:tentative="1">
      <w:start w:val="1"/>
      <w:numFmt w:val="lowerRoman"/>
      <w:lvlText w:val="%6."/>
      <w:lvlJc w:val="right"/>
      <w:pPr>
        <w:ind w:left="4680" w:hanging="180"/>
      </w:pPr>
      <w:rPr>
        <w:rFonts w:cs="Times New Roman"/>
      </w:rPr>
    </w:lvl>
    <w:lvl w:ilvl="6" w:tplc="0C0A000F" w:tentative="1">
      <w:start w:val="1"/>
      <w:numFmt w:val="decimal"/>
      <w:lvlText w:val="%7."/>
      <w:lvlJc w:val="left"/>
      <w:pPr>
        <w:ind w:left="5400" w:hanging="360"/>
      </w:pPr>
      <w:rPr>
        <w:rFonts w:cs="Times New Roman"/>
      </w:rPr>
    </w:lvl>
    <w:lvl w:ilvl="7" w:tplc="0C0A0019" w:tentative="1">
      <w:start w:val="1"/>
      <w:numFmt w:val="lowerLetter"/>
      <w:lvlText w:val="%8."/>
      <w:lvlJc w:val="left"/>
      <w:pPr>
        <w:ind w:left="6120" w:hanging="360"/>
      </w:pPr>
      <w:rPr>
        <w:rFonts w:cs="Times New Roman"/>
      </w:rPr>
    </w:lvl>
    <w:lvl w:ilvl="8" w:tplc="0C0A001B" w:tentative="1">
      <w:start w:val="1"/>
      <w:numFmt w:val="lowerRoman"/>
      <w:lvlText w:val="%9."/>
      <w:lvlJc w:val="right"/>
      <w:pPr>
        <w:ind w:left="6840" w:hanging="180"/>
      </w:pPr>
      <w:rPr>
        <w:rFonts w:cs="Times New Roman"/>
      </w:rPr>
    </w:lvl>
  </w:abstractNum>
  <w:abstractNum w:abstractNumId="4">
    <w:nsid w:val="328601FD"/>
    <w:multiLevelType w:val="hybridMultilevel"/>
    <w:tmpl w:val="30AEF836"/>
    <w:lvl w:ilvl="0" w:tplc="F2CACB36">
      <w:start w:val="1"/>
      <w:numFmt w:val="decimal"/>
      <w:lvlText w:val="%1."/>
      <w:lvlJc w:val="left"/>
      <w:pPr>
        <w:ind w:left="720" w:hanging="360"/>
      </w:pPr>
      <w:rPr>
        <w:rFonts w:ascii="Tahoma" w:hAnsi="Tahoma" w:cs="Tahoma" w:hint="default"/>
        <w:b/>
        <w:i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54657FBB"/>
    <w:multiLevelType w:val="hybridMultilevel"/>
    <w:tmpl w:val="2EC008DC"/>
    <w:lvl w:ilvl="0" w:tplc="1C740242">
      <w:start w:val="1"/>
      <w:numFmt w:val="decimal"/>
      <w:lvlText w:val="%1."/>
      <w:lvlJc w:val="left"/>
      <w:pPr>
        <w:ind w:left="502" w:hanging="360"/>
      </w:pPr>
      <w:rPr>
        <w:rFonts w:ascii="Tahoma" w:hAnsi="Tahoma" w:cs="Tahoma" w:hint="default"/>
        <w:b/>
        <w:i w:val="0"/>
        <w:sz w:val="21"/>
        <w:szCs w:val="21"/>
        <w:lang w:val="es-P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7C8303FE"/>
    <w:multiLevelType w:val="hybridMultilevel"/>
    <w:tmpl w:val="CB38CCBA"/>
    <w:lvl w:ilvl="0" w:tplc="0C0A0019">
      <w:start w:val="1"/>
      <w:numFmt w:val="lowerLetter"/>
      <w:lvlText w:val="%1."/>
      <w:lvlJc w:val="left"/>
      <w:pPr>
        <w:tabs>
          <w:tab w:val="num" w:pos="1440"/>
        </w:tabs>
        <w:ind w:left="1440" w:hanging="360"/>
      </w:pPr>
      <w:rPr>
        <w:rFonts w:cs="Times New Roman"/>
      </w:rPr>
    </w:lvl>
    <w:lvl w:ilvl="1" w:tplc="0C0A0019" w:tentative="1">
      <w:start w:val="1"/>
      <w:numFmt w:val="lowerLetter"/>
      <w:lvlText w:val="%2."/>
      <w:lvlJc w:val="left"/>
      <w:pPr>
        <w:tabs>
          <w:tab w:val="num" w:pos="2160"/>
        </w:tabs>
        <w:ind w:left="2160" w:hanging="360"/>
      </w:pPr>
      <w:rPr>
        <w:rFonts w:cs="Times New Roman"/>
      </w:rPr>
    </w:lvl>
    <w:lvl w:ilvl="2" w:tplc="0C0A001B" w:tentative="1">
      <w:start w:val="1"/>
      <w:numFmt w:val="lowerRoman"/>
      <w:lvlText w:val="%3."/>
      <w:lvlJc w:val="right"/>
      <w:pPr>
        <w:tabs>
          <w:tab w:val="num" w:pos="2880"/>
        </w:tabs>
        <w:ind w:left="2880" w:hanging="180"/>
      </w:pPr>
      <w:rPr>
        <w:rFonts w:cs="Times New Roman"/>
      </w:rPr>
    </w:lvl>
    <w:lvl w:ilvl="3" w:tplc="0C0A000F" w:tentative="1">
      <w:start w:val="1"/>
      <w:numFmt w:val="decimal"/>
      <w:lvlText w:val="%4."/>
      <w:lvlJc w:val="left"/>
      <w:pPr>
        <w:tabs>
          <w:tab w:val="num" w:pos="3600"/>
        </w:tabs>
        <w:ind w:left="3600" w:hanging="360"/>
      </w:pPr>
      <w:rPr>
        <w:rFonts w:cs="Times New Roman"/>
      </w:rPr>
    </w:lvl>
    <w:lvl w:ilvl="4" w:tplc="0C0A0019" w:tentative="1">
      <w:start w:val="1"/>
      <w:numFmt w:val="lowerLetter"/>
      <w:lvlText w:val="%5."/>
      <w:lvlJc w:val="left"/>
      <w:pPr>
        <w:tabs>
          <w:tab w:val="num" w:pos="4320"/>
        </w:tabs>
        <w:ind w:left="4320" w:hanging="360"/>
      </w:pPr>
      <w:rPr>
        <w:rFonts w:cs="Times New Roman"/>
      </w:rPr>
    </w:lvl>
    <w:lvl w:ilvl="5" w:tplc="0C0A001B" w:tentative="1">
      <w:start w:val="1"/>
      <w:numFmt w:val="lowerRoman"/>
      <w:lvlText w:val="%6."/>
      <w:lvlJc w:val="right"/>
      <w:pPr>
        <w:tabs>
          <w:tab w:val="num" w:pos="5040"/>
        </w:tabs>
        <w:ind w:left="5040" w:hanging="180"/>
      </w:pPr>
      <w:rPr>
        <w:rFonts w:cs="Times New Roman"/>
      </w:rPr>
    </w:lvl>
    <w:lvl w:ilvl="6" w:tplc="0C0A000F" w:tentative="1">
      <w:start w:val="1"/>
      <w:numFmt w:val="decimal"/>
      <w:lvlText w:val="%7."/>
      <w:lvlJc w:val="left"/>
      <w:pPr>
        <w:tabs>
          <w:tab w:val="num" w:pos="5760"/>
        </w:tabs>
        <w:ind w:left="5760" w:hanging="360"/>
      </w:pPr>
      <w:rPr>
        <w:rFonts w:cs="Times New Roman"/>
      </w:rPr>
    </w:lvl>
    <w:lvl w:ilvl="7" w:tplc="0C0A0019" w:tentative="1">
      <w:start w:val="1"/>
      <w:numFmt w:val="lowerLetter"/>
      <w:lvlText w:val="%8."/>
      <w:lvlJc w:val="left"/>
      <w:pPr>
        <w:tabs>
          <w:tab w:val="num" w:pos="6480"/>
        </w:tabs>
        <w:ind w:left="6480" w:hanging="360"/>
      </w:pPr>
      <w:rPr>
        <w:rFonts w:cs="Times New Roman"/>
      </w:rPr>
    </w:lvl>
    <w:lvl w:ilvl="8" w:tplc="0C0A001B" w:tentative="1">
      <w:start w:val="1"/>
      <w:numFmt w:val="lowerRoman"/>
      <w:lvlText w:val="%9."/>
      <w:lvlJc w:val="right"/>
      <w:pPr>
        <w:tabs>
          <w:tab w:val="num" w:pos="7200"/>
        </w:tabs>
        <w:ind w:left="7200" w:hanging="180"/>
      </w:pPr>
      <w:rPr>
        <w:rFonts w:cs="Times New Roman"/>
      </w:rPr>
    </w:lvl>
  </w:abstractNum>
  <w:abstractNum w:abstractNumId="8">
    <w:nsid w:val="7EC759A6"/>
    <w:multiLevelType w:val="hybridMultilevel"/>
    <w:tmpl w:val="F208B0EE"/>
    <w:lvl w:ilvl="0" w:tplc="CDE45A04">
      <w:start w:val="1"/>
      <w:numFmt w:val="decimal"/>
      <w:lvlText w:val="%1."/>
      <w:lvlJc w:val="left"/>
      <w:pPr>
        <w:tabs>
          <w:tab w:val="num" w:pos="360"/>
        </w:tabs>
        <w:ind w:left="360" w:hanging="360"/>
      </w:pPr>
      <w:rPr>
        <w:rFonts w:cs="Times New Roman" w:hint="default"/>
        <w:b/>
      </w:rPr>
    </w:lvl>
    <w:lvl w:ilvl="1" w:tplc="132CE118">
      <w:start w:val="1"/>
      <w:numFmt w:val="lowerLetter"/>
      <w:lvlText w:val="%2."/>
      <w:lvlJc w:val="left"/>
      <w:pPr>
        <w:tabs>
          <w:tab w:val="num" w:pos="1080"/>
        </w:tabs>
        <w:ind w:left="1080" w:hanging="360"/>
      </w:pPr>
      <w:rPr>
        <w:rFonts w:cs="Times New Roman" w:hint="default"/>
        <w:b w:val="0"/>
      </w:rPr>
    </w:lvl>
    <w:lvl w:ilvl="2" w:tplc="0C0A0001">
      <w:start w:val="1"/>
      <w:numFmt w:val="bullet"/>
      <w:lvlText w:val=""/>
      <w:lvlJc w:val="left"/>
      <w:pPr>
        <w:tabs>
          <w:tab w:val="num" w:pos="1980"/>
        </w:tabs>
        <w:ind w:left="1980" w:hanging="360"/>
      </w:pPr>
      <w:rPr>
        <w:rFonts w:ascii="Symbol" w:hAnsi="Symbol" w:hint="default"/>
        <w:b/>
      </w:rPr>
    </w:lvl>
    <w:lvl w:ilvl="3" w:tplc="0C0A0019">
      <w:start w:val="1"/>
      <w:numFmt w:val="lowerLetter"/>
      <w:lvlText w:val="%4."/>
      <w:lvlJc w:val="left"/>
      <w:pPr>
        <w:tabs>
          <w:tab w:val="num" w:pos="2520"/>
        </w:tabs>
        <w:ind w:left="2520" w:hanging="360"/>
      </w:pPr>
      <w:rPr>
        <w:rFonts w:cs="Times New Roman" w:hint="default"/>
        <w:b/>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num w:numId="1">
    <w:abstractNumId w:val="5"/>
  </w:num>
  <w:num w:numId="2">
    <w:abstractNumId w:val="8"/>
  </w:num>
  <w:num w:numId="3">
    <w:abstractNumId w:val="7"/>
  </w:num>
  <w:num w:numId="4">
    <w:abstractNumId w:val="3"/>
  </w:num>
  <w:num w:numId="5">
    <w:abstractNumId w:val="0"/>
  </w:num>
  <w:num w:numId="6">
    <w:abstractNumId w:val="1"/>
  </w:num>
  <w:num w:numId="7">
    <w:abstractNumId w:val="4"/>
  </w:num>
  <w:num w:numId="8">
    <w:abstractNumId w:val="6"/>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EF6D22"/>
    <w:rsid w:val="00252F72"/>
    <w:rsid w:val="00415128"/>
    <w:rsid w:val="004617F3"/>
    <w:rsid w:val="005F0E2E"/>
    <w:rsid w:val="006978C5"/>
    <w:rsid w:val="00812DAF"/>
    <w:rsid w:val="009042C5"/>
    <w:rsid w:val="00A146FF"/>
    <w:rsid w:val="00A45F9E"/>
    <w:rsid w:val="00A81765"/>
    <w:rsid w:val="00B278EA"/>
    <w:rsid w:val="00B64716"/>
    <w:rsid w:val="00EF6D22"/>
    <w:rsid w:val="00F145C5"/>
    <w:rsid w:val="00F60DC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D22"/>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EF6D22"/>
    <w:pPr>
      <w:spacing w:after="120"/>
    </w:pPr>
    <w:rPr>
      <w:sz w:val="16"/>
      <w:szCs w:val="16"/>
      <w:lang w:val="es-PE"/>
    </w:rPr>
  </w:style>
  <w:style w:type="character" w:customStyle="1" w:styleId="Textoindependiente3Car">
    <w:name w:val="Texto independiente 3 Car"/>
    <w:basedOn w:val="Fuentedeprrafopredeter"/>
    <w:link w:val="Textoindependiente3"/>
    <w:rsid w:val="00EF6D22"/>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EF6D22"/>
    <w:pPr>
      <w:jc w:val="both"/>
    </w:pPr>
    <w:rPr>
      <w:rFonts w:ascii="Tahoma" w:hAnsi="Tahoma"/>
      <w:sz w:val="22"/>
      <w:szCs w:val="20"/>
    </w:rPr>
  </w:style>
  <w:style w:type="paragraph" w:styleId="Prrafodelista">
    <w:name w:val="List Paragraph"/>
    <w:basedOn w:val="Normal"/>
    <w:uiPriority w:val="99"/>
    <w:qFormat/>
    <w:rsid w:val="00EF6D22"/>
    <w:pPr>
      <w:widowControl w:val="0"/>
      <w:suppressAutoHyphens/>
      <w:ind w:left="708"/>
    </w:pPr>
    <w:rPr>
      <w:szCs w:val="20"/>
      <w:lang w:val="es-ES_tradnl"/>
    </w:rPr>
  </w:style>
  <w:style w:type="paragraph" w:styleId="Piedepgina">
    <w:name w:val="footer"/>
    <w:basedOn w:val="Normal"/>
    <w:link w:val="PiedepginaCar"/>
    <w:uiPriority w:val="99"/>
    <w:unhideWhenUsed/>
    <w:rsid w:val="00EF6D22"/>
    <w:pPr>
      <w:tabs>
        <w:tab w:val="center" w:pos="4252"/>
        <w:tab w:val="right" w:pos="8504"/>
      </w:tabs>
    </w:pPr>
  </w:style>
  <w:style w:type="character" w:customStyle="1" w:styleId="PiedepginaCar">
    <w:name w:val="Pie de página Car"/>
    <w:basedOn w:val="Fuentedeprrafopredeter"/>
    <w:link w:val="Piedepgina"/>
    <w:uiPriority w:val="99"/>
    <w:rsid w:val="00EF6D22"/>
    <w:rPr>
      <w:rFonts w:ascii="Times New Roman" w:eastAsia="Times New Roman" w:hAnsi="Times New Roman" w:cs="Times New Roman"/>
      <w:sz w:val="24"/>
      <w:szCs w:val="24"/>
      <w:lang w:eastAsia="es-ES"/>
    </w:rPr>
  </w:style>
  <w:style w:type="paragraph" w:styleId="Textonotapie">
    <w:name w:val="footnote text"/>
    <w:aliases w:val="Car,Car Car Car,Car4, Car,Car Car1,Texto nota pie1,Texto independiente1, Car4,Body Text,Texto independiente11, Car1 Car,Car1 Car, Car2 Car Car Car Car Car, Car2 Car Car, Car2 Car Car Car Car Car Car, Car2 Car1 Car, Car Car Car, Car2 Car"/>
    <w:basedOn w:val="Normal"/>
    <w:link w:val="TextonotapieCar"/>
    <w:rsid w:val="00EF6D22"/>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1 Car Car,Car1 Car Car, Car2 Car Car Car Car Car Car1, Car2 Car Car Car"/>
    <w:basedOn w:val="Fuentedeprrafopredeter"/>
    <w:link w:val="Textonotapie"/>
    <w:rsid w:val="00EF6D22"/>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EF6D22"/>
    <w:rPr>
      <w:rFonts w:cs="Times New Roman"/>
      <w:vertAlign w:val="superscript"/>
    </w:rPr>
  </w:style>
  <w:style w:type="paragraph" w:styleId="Ttulo">
    <w:name w:val="Title"/>
    <w:basedOn w:val="Normal"/>
    <w:next w:val="Normal"/>
    <w:link w:val="TtuloCar"/>
    <w:uiPriority w:val="10"/>
    <w:qFormat/>
    <w:rsid w:val="00A45F9E"/>
    <w:pPr>
      <w:suppressAutoHyphens/>
      <w:spacing w:before="240" w:after="60"/>
      <w:jc w:val="center"/>
      <w:outlineLvl w:val="0"/>
    </w:pPr>
    <w:rPr>
      <w:rFonts w:ascii="Cambria" w:hAnsi="Cambria"/>
      <w:b/>
      <w:bCs/>
      <w:kern w:val="28"/>
      <w:sz w:val="32"/>
      <w:szCs w:val="32"/>
      <w:lang w:val="es-ES_tradnl" w:eastAsia="es-PE"/>
    </w:rPr>
  </w:style>
  <w:style w:type="character" w:customStyle="1" w:styleId="TtuloCar">
    <w:name w:val="Título Car"/>
    <w:basedOn w:val="Fuentedeprrafopredeter"/>
    <w:link w:val="Ttulo"/>
    <w:uiPriority w:val="10"/>
    <w:rsid w:val="00A45F9E"/>
    <w:rPr>
      <w:rFonts w:ascii="Cambria" w:eastAsia="Times New Roman" w:hAnsi="Cambria" w:cs="Times New Roman"/>
      <w:b/>
      <w:bCs/>
      <w:kern w:val="28"/>
      <w:sz w:val="32"/>
      <w:szCs w:val="32"/>
      <w:lang w:val="es-ES_tradnl" w:eastAsia="es-PE"/>
    </w:rPr>
  </w:style>
  <w:style w:type="paragraph" w:styleId="Encabezado">
    <w:name w:val="header"/>
    <w:aliases w:val="encabezado,Encabezado Car Car Car Car,Encabezado Car Car,maria,Encabezado1,h"/>
    <w:basedOn w:val="Normal"/>
    <w:link w:val="EncabezadoCar"/>
    <w:semiHidden/>
    <w:unhideWhenUsed/>
    <w:rsid w:val="00A81765"/>
    <w:pPr>
      <w:tabs>
        <w:tab w:val="center" w:pos="4252"/>
        <w:tab w:val="right" w:pos="8504"/>
      </w:tabs>
    </w:pPr>
  </w:style>
  <w:style w:type="character" w:customStyle="1" w:styleId="EncabezadoCar">
    <w:name w:val="Encabezado Car"/>
    <w:aliases w:val="encabezado Car,Encabezado Car Car Car Car Car,Encabezado Car Car Car,maria Car,Encabezado1 Car,h Car"/>
    <w:basedOn w:val="Fuentedeprrafopredeter"/>
    <w:link w:val="Encabezado"/>
    <w:semiHidden/>
    <w:rsid w:val="00A81765"/>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412505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8</Pages>
  <Words>2364</Words>
  <Characters>13006</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8</cp:revision>
  <cp:lastPrinted>2011-01-21T16:35:00Z</cp:lastPrinted>
  <dcterms:created xsi:type="dcterms:W3CDTF">2011-01-21T16:22:00Z</dcterms:created>
  <dcterms:modified xsi:type="dcterms:W3CDTF">2011-02-08T15:55:00Z</dcterms:modified>
</cp:coreProperties>
</file>